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outlineLvl w:val="0"/>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#10</w:t>
      </w:r>
      <w:r>
        <w:rPr>
          <w:rFonts w:hint="default" w:ascii="Arial" w:hAnsi="Arial" w:cs="Arial"/>
          <w:b/>
          <w:bCs/>
          <w:sz w:val="28"/>
          <w:szCs w:val="24"/>
          <w:lang w:val="en-US" w:eastAsia="zh-CN"/>
        </w:rPr>
        <w:t>9</w:t>
      </w:r>
      <w:r>
        <w:rPr>
          <w:rFonts w:ascii="Arial" w:hAnsi="Arial" w:eastAsia="Batang" w:cs="Arial"/>
          <w:b/>
          <w:bCs/>
          <w:sz w:val="28"/>
          <w:szCs w:val="24"/>
          <w:lang w:eastAsia="en-US"/>
        </w:rPr>
        <w:t>-e</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hint="eastAsia" w:ascii="Arial" w:hAnsi="Arial" w:cs="Arial"/>
          <w:b/>
          <w:bCs/>
          <w:sz w:val="28"/>
          <w:szCs w:val="24"/>
          <w:lang w:val="en-US" w:eastAsia="zh-CN"/>
        </w:rPr>
        <w:t xml:space="preserve">                         </w:t>
      </w:r>
      <w:r>
        <w:rPr>
          <w:rFonts w:hint="eastAsia" w:ascii="Arial" w:hAnsi="Arial" w:eastAsia="Batang" w:cs="Arial"/>
          <w:b/>
          <w:bCs/>
          <w:sz w:val="28"/>
          <w:szCs w:val="24"/>
          <w:lang w:eastAsia="en-US"/>
        </w:rPr>
        <w:t>R1-2204316</w:t>
      </w:r>
    </w:p>
    <w:p>
      <w:pPr>
        <w:tabs>
          <w:tab w:val="center" w:pos="4536"/>
          <w:tab w:val="right" w:pos="9072"/>
        </w:tabs>
        <w:outlineLvl w:val="0"/>
        <w:rPr>
          <w:rFonts w:ascii="Arial" w:hAnsi="Arial" w:eastAsia="Batang" w:cs="Arial"/>
          <w:b/>
          <w:bCs/>
          <w:sz w:val="28"/>
          <w:szCs w:val="24"/>
          <w:lang w:eastAsia="en-US"/>
        </w:rPr>
      </w:pPr>
      <w:r>
        <w:rPr>
          <w:rFonts w:ascii="Arial" w:hAnsi="Arial" w:eastAsia="MS Mincho" w:cs="Arial"/>
          <w:b/>
          <w:bCs/>
          <w:sz w:val="28"/>
          <w:lang w:eastAsia="ja-JP"/>
        </w:rPr>
        <w:t>e-Meeting, May 9</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20</w:t>
      </w:r>
      <w:r>
        <w:rPr>
          <w:rFonts w:ascii="Arial" w:hAnsi="Arial" w:eastAsia="MS Mincho" w:cs="Arial"/>
          <w:b/>
          <w:bCs/>
          <w:sz w:val="28"/>
          <w:vertAlign w:val="superscript"/>
          <w:lang w:eastAsia="ja-JP"/>
        </w:rPr>
        <w:t>th</w:t>
      </w:r>
      <w:r>
        <w:rPr>
          <w:rFonts w:ascii="Arial" w:hAnsi="Arial" w:eastAsia="MS Mincho" w:cs="Arial"/>
          <w:b/>
          <w:bCs/>
          <w:sz w:val="28"/>
          <w:lang w:eastAsia="ja-JP"/>
        </w:rPr>
        <w:t>, 2022</w:t>
      </w:r>
    </w:p>
    <w:p>
      <w:pPr>
        <w:widowControl w:val="0"/>
        <w:spacing w:after="0"/>
        <w:jc w:val="both"/>
        <w:rPr>
          <w:sz w:val="24"/>
          <w:szCs w:val="24"/>
          <w:lang w:eastAsia="zh-CN"/>
        </w:rPr>
      </w:pPr>
    </w:p>
    <w:p>
      <w:pPr>
        <w:pStyle w:val="104"/>
        <w:spacing w:after="0"/>
        <w:outlineLvl w:val="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ascii="Times New Roman" w:hAnsi="Times New Roman"/>
          <w:sz w:val="24"/>
          <w:szCs w:val="24"/>
          <w:lang w:val="en-US"/>
        </w:rPr>
        <w:t>CMCC</w:t>
      </w:r>
    </w:p>
    <w:p>
      <w:pPr>
        <w:pStyle w:val="104"/>
        <w:spacing w:after="0"/>
        <w:outlineLvl w:val="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sz w:val="24"/>
          <w:szCs w:val="24"/>
          <w:lang w:val="en-US"/>
        </w:rPr>
        <w:t>Discussion on simulation needs and assumptions</w:t>
      </w:r>
    </w:p>
    <w:p>
      <w:pPr>
        <w:pStyle w:val="104"/>
        <w:spacing w:after="0"/>
        <w:outlineLvl w:val="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default" w:ascii="Times New Roman" w:hAnsi="Times New Roman"/>
          <w:sz w:val="24"/>
          <w:szCs w:val="24"/>
          <w:lang w:val="en-US" w:eastAsia="zh-CN"/>
        </w:rPr>
        <w:t>9.6.2</w:t>
      </w:r>
    </w:p>
    <w:p>
      <w:pPr>
        <w:pStyle w:val="104"/>
        <w:spacing w:after="0"/>
        <w:outlineLvl w:val="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numPr>
          <w:ilvl w:val="0"/>
          <w:numId w:val="6"/>
        </w:numPr>
        <w:rPr>
          <w:rFonts w:ascii="Times New Roman" w:hAnsi="Times New Roman"/>
        </w:rPr>
      </w:pPr>
      <w:bookmarkStart w:id="4" w:name="_Toc120549591"/>
      <w:r>
        <w:rPr>
          <w:rFonts w:ascii="Times New Roman" w:hAnsi="Times New Roman"/>
        </w:rPr>
        <w:t>Introduction</w:t>
      </w:r>
      <w:bookmarkEnd w:id="4"/>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 xml:space="preserve">According to the SID objective listed in the following[1], complexity reduction techniques will be studied based on the </w:t>
      </w:r>
      <w:r>
        <w:rPr>
          <w:lang w:eastAsia="ja-JP"/>
        </w:rPr>
        <w:t>evaluation methodology in TR 38.875</w:t>
      </w:r>
      <w:r>
        <w:rPr>
          <w:rFonts w:hint="default"/>
          <w:lang w:val="en-US" w:eastAsia="ja-JP"/>
        </w:rPr>
        <w:t>.</w:t>
      </w:r>
    </w:p>
    <w:p>
      <w:pPr>
        <w:numPr>
          <w:ilvl w:val="0"/>
          <w:numId w:val="7"/>
        </w:numPr>
        <w:ind w:right="-99"/>
        <w:rPr>
          <w:lang w:eastAsia="ja-JP"/>
        </w:rPr>
      </w:pPr>
      <w:r>
        <w:rPr>
          <w:lang w:eastAsia="ja-JP"/>
        </w:rPr>
        <w:t>Study further UE complexity reduction techniques based on Rel-17 evaluation methodology in TR 38.875 [RAN1]</w:t>
      </w:r>
    </w:p>
    <w:p>
      <w:pPr>
        <w:numPr>
          <w:ilvl w:val="1"/>
          <w:numId w:val="8"/>
        </w:numPr>
        <w:ind w:right="-99"/>
        <w:rPr>
          <w:lang w:eastAsia="ja-JP"/>
        </w:rPr>
      </w:pPr>
      <w:r>
        <w:rPr>
          <w:lang w:eastAsia="ja-JP"/>
        </w:rPr>
        <w:t>Consider network impact, coexistence of Rel-17 and Rel-18 RedCap and non-RedCap UEs in a cell, UE impact, specification impact</w:t>
      </w:r>
    </w:p>
    <w:p>
      <w:pPr>
        <w:numPr>
          <w:ilvl w:val="1"/>
          <w:numId w:val="8"/>
        </w:numPr>
        <w:ind w:right="-99"/>
        <w:rPr>
          <w:lang w:eastAsia="ja-JP"/>
        </w:rPr>
      </w:pPr>
      <w:r>
        <w:rPr>
          <w:lang w:eastAsia="ja-JP"/>
        </w:rPr>
        <w:t>Potential solutions, which may complement each other, for reducing device complexity are focusing on:</w:t>
      </w:r>
    </w:p>
    <w:p>
      <w:pPr>
        <w:numPr>
          <w:ilvl w:val="2"/>
          <w:numId w:val="8"/>
        </w:numPr>
        <w:ind w:right="-99"/>
        <w:rPr>
          <w:lang w:eastAsia="ja-JP"/>
        </w:rPr>
      </w:pPr>
      <w:r>
        <w:rPr>
          <w:lang w:eastAsia="ja-JP"/>
        </w:rPr>
        <w:t>UE bandwidth reduction to 5MHz in FR1,</w:t>
      </w:r>
    </w:p>
    <w:p>
      <w:pPr>
        <w:numPr>
          <w:ilvl w:val="3"/>
          <w:numId w:val="8"/>
        </w:numPr>
        <w:ind w:right="-99"/>
        <w:rPr>
          <w:lang w:eastAsia="ja-JP"/>
        </w:rPr>
      </w:pPr>
      <w:r>
        <w:rPr>
          <w:lang w:eastAsia="ja-JP"/>
        </w:rPr>
        <w:t>Possibly in combination with relaxed UE processing timeline for PDSCH and/or PUSCH and/or CSI</w:t>
      </w:r>
    </w:p>
    <w:p>
      <w:pPr>
        <w:numPr>
          <w:ilvl w:val="2"/>
          <w:numId w:val="8"/>
        </w:numPr>
        <w:ind w:right="-99"/>
        <w:rPr>
          <w:lang w:eastAsia="ja-JP"/>
        </w:rPr>
      </w:pPr>
      <w:r>
        <w:rPr>
          <w:lang w:eastAsia="ja-JP"/>
        </w:rPr>
        <w:t xml:space="preserve">reduced UE peak data rate in FR1, </w:t>
      </w:r>
    </w:p>
    <w:p>
      <w:pPr>
        <w:numPr>
          <w:ilvl w:val="3"/>
          <w:numId w:val="8"/>
        </w:numPr>
        <w:ind w:right="-99"/>
        <w:rPr>
          <w:lang w:eastAsia="ja-JP"/>
        </w:rPr>
      </w:pPr>
      <w:r>
        <w:rPr>
          <w:lang w:eastAsia="ja-JP"/>
        </w:rPr>
        <w:t>Possibly including restricted bandwidth for PDSCH and/or PUSCH</w:t>
      </w:r>
    </w:p>
    <w:p>
      <w:pPr>
        <w:numPr>
          <w:ilvl w:val="3"/>
          <w:numId w:val="8"/>
        </w:numPr>
        <w:ind w:right="-99"/>
        <w:rPr>
          <w:lang w:eastAsia="ja-JP"/>
        </w:rPr>
      </w:pPr>
      <w:r>
        <w:rPr>
          <w:lang w:eastAsia="ja-JP"/>
        </w:rPr>
        <w:t>Possibly in combination with relaxed UE processing timeline for PDSCH and/or PUSCH and/or CSI</w:t>
      </w:r>
    </w:p>
    <w:p>
      <w:pPr>
        <w:overflowPunct w:val="0"/>
        <w:autoSpaceDE w:val="0"/>
        <w:autoSpaceDN w:val="0"/>
        <w:adjustRightInd w:val="0"/>
        <w:spacing w:before="0"/>
        <w:jc w:val="both"/>
        <w:textAlignment w:val="baseline"/>
        <w:rPr>
          <w:rFonts w:hint="default"/>
          <w:bCs/>
          <w:lang w:val="en-US" w:eastAsia="zh-CN"/>
        </w:rPr>
      </w:pPr>
      <w:r>
        <w:rPr>
          <w:rFonts w:hint="default"/>
          <w:bCs/>
          <w:lang w:val="en-US" w:eastAsia="zh-CN"/>
        </w:rPr>
        <w:t>In this contribution, we will discuss the reference configuration for complexity reduction evaluation, and give our proposals.</w:t>
      </w:r>
    </w:p>
    <w:p>
      <w:pPr>
        <w:pStyle w:val="2"/>
        <w:numPr>
          <w:ilvl w:val="0"/>
          <w:numId w:val="6"/>
        </w:numPr>
        <w:jc w:val="both"/>
        <w:rPr>
          <w:rFonts w:hint="default" w:ascii="Times New Roman" w:hAnsi="Times New Roman" w:eastAsiaTheme="minorEastAsia"/>
          <w:lang w:val="en-US" w:eastAsia="zh-CN"/>
        </w:rPr>
      </w:pPr>
      <w:r>
        <w:rPr>
          <w:rFonts w:hint="eastAsia" w:ascii="Times New Roman" w:hAnsi="Times New Roman" w:eastAsiaTheme="minorEastAsia"/>
          <w:lang w:eastAsia="zh-CN"/>
        </w:rPr>
        <w:t>Discussion on simulation needs and assumptions</w:t>
      </w:r>
    </w:p>
    <w:p>
      <w:pPr>
        <w:rPr>
          <w:rFonts w:hint="default"/>
          <w:lang w:val="en-US" w:eastAsia="zh-CN"/>
        </w:rPr>
      </w:pPr>
      <w:r>
        <w:rPr>
          <w:rFonts w:hint="default"/>
          <w:lang w:val="en-US" w:eastAsia="zh-CN"/>
        </w:rPr>
        <w:t xml:space="preserve">There are two possible solutions to reduce UE complexity, one is to reduce UE bandwidth to 5MHz and the other one is to </w:t>
      </w:r>
      <w:r>
        <w:rPr>
          <w:lang w:eastAsia="ja-JP"/>
        </w:rPr>
        <w:t>reduced UE peak data rate</w:t>
      </w:r>
      <w:r>
        <w:rPr>
          <w:rFonts w:hint="default"/>
          <w:lang w:val="en-US" w:eastAsia="zh-CN"/>
        </w:rPr>
        <w:t xml:space="preserve">, and both of the solutions can further combine with </w:t>
      </w:r>
      <w:r>
        <w:rPr>
          <w:lang w:eastAsia="ja-JP"/>
        </w:rPr>
        <w:t>relaxed UE processing timeline for PDSCH and/or PUSCH and/or CSI</w:t>
      </w:r>
      <w:r>
        <w:rPr>
          <w:rFonts w:hint="default"/>
          <w:lang w:val="en-US" w:eastAsia="zh-CN"/>
        </w:rPr>
        <w:t xml:space="preserve">. In our companion contribution[2], the potential performance and specification influence have been analyzed, and to our understanding, reducing UE bandwidth to 5MHz requires more specification effort.Another important factor is cost reduction, so cost reduction gain analysis similar as section 7.3.2 in TR38.875 is needed for both solutions. Whether both solutions can be selected or only one is down selected depends on not only the cost reduction, but also the performance impacts and specification effort to enable standalone deployment or coexistence with non-RedCap or R17 RedCap UEs. </w:t>
      </w:r>
    </w:p>
    <w:p>
      <w:pPr>
        <w:rPr>
          <w:rFonts w:hint="default"/>
          <w:b/>
          <w:bCs/>
          <w:lang w:val="en-US" w:eastAsia="zh-CN"/>
        </w:rPr>
      </w:pPr>
      <w:r>
        <w:rPr>
          <w:rFonts w:hint="default"/>
          <w:b/>
          <w:bCs/>
          <w:lang w:val="en-US" w:eastAsia="zh-CN"/>
        </w:rPr>
        <w:t xml:space="preserve">Observation: Whether both </w:t>
      </w:r>
      <w:r>
        <w:rPr>
          <w:b/>
          <w:bCs/>
          <w:lang w:eastAsia="ja-JP"/>
        </w:rPr>
        <w:t>UE bandwidth reduction to 5MHz</w:t>
      </w:r>
      <w:r>
        <w:rPr>
          <w:rFonts w:hint="default"/>
          <w:b/>
          <w:bCs/>
          <w:lang w:val="en-US" w:eastAsia="ja-JP"/>
        </w:rPr>
        <w:t xml:space="preserve"> and </w:t>
      </w:r>
      <w:r>
        <w:rPr>
          <w:b/>
          <w:bCs/>
          <w:lang w:eastAsia="ja-JP"/>
        </w:rPr>
        <w:t>reduced UE peak data rate</w:t>
      </w:r>
      <w:r>
        <w:rPr>
          <w:rFonts w:hint="default"/>
          <w:b/>
          <w:bCs/>
          <w:lang w:val="en-US" w:eastAsia="zh-CN"/>
        </w:rPr>
        <w:t xml:space="preserve"> can be selected or only one is down selected depends on not only the cost reduction, but also the performance impacts and specification effort to enable standalone deployment or coexistence with non-RedCap or R17 RedCap UEs.</w:t>
      </w:r>
    </w:p>
    <w:p>
      <w:pPr>
        <w:rPr>
          <w:rFonts w:hint="default" w:cs="Times New Roman"/>
          <w:lang w:val="en-US" w:eastAsia="zh-CN"/>
        </w:rPr>
      </w:pPr>
      <w:r>
        <w:rPr>
          <w:rFonts w:hint="default" w:cs="Times New Roman"/>
          <w:lang w:val="en-US" w:eastAsia="zh-CN"/>
        </w:rPr>
        <w:t>To evaluate cost reduction, reference configuration should be determined first. There are two alternatives for the reference configuration,</w:t>
      </w:r>
    </w:p>
    <w:p>
      <w:pPr>
        <w:numPr>
          <w:ilvl w:val="0"/>
          <w:numId w:val="9"/>
        </w:numPr>
        <w:ind w:left="420" w:leftChars="0" w:hanging="420" w:firstLineChars="0"/>
        <w:rPr>
          <w:rFonts w:hint="default" w:cs="Times New Roman"/>
          <w:lang w:val="en-US" w:eastAsia="zh-CN"/>
        </w:rPr>
      </w:pPr>
      <w:r>
        <w:rPr>
          <w:rFonts w:hint="default" w:cs="Times New Roman"/>
          <w:lang w:val="en-US" w:eastAsia="zh-CN"/>
        </w:rPr>
        <w:t>Alternative 1: reuse the same reference NR device as R17 RedCap UE.</w:t>
      </w:r>
    </w:p>
    <w:p>
      <w:pPr>
        <w:numPr>
          <w:ilvl w:val="0"/>
          <w:numId w:val="0"/>
        </w:numPr>
        <w:ind w:leftChars="0"/>
        <w:rPr>
          <w:rFonts w:eastAsia="宋体"/>
          <w:lang w:val="en-US"/>
        </w:rPr>
      </w:pPr>
      <w:r>
        <w:rPr>
          <w:rFonts w:hint="default" w:cs="Times New Roman"/>
          <w:lang w:val="en-US" w:eastAsia="zh-CN"/>
        </w:rPr>
        <w:t>For Alternative 1, r</w:t>
      </w:r>
      <w:r>
        <w:rPr>
          <w:rFonts w:eastAsia="宋体"/>
          <w:lang w:val="en-US"/>
        </w:rPr>
        <w:t>eference NR devices were defined as follows for FR1 FDD, FR1 TDD</w:t>
      </w:r>
      <w:r>
        <w:rPr>
          <w:rFonts w:hint="default"/>
          <w:lang w:val="en-US"/>
        </w:rPr>
        <w:t xml:space="preserve">, </w:t>
      </w:r>
      <w:r>
        <w:rPr>
          <w:rFonts w:eastAsia="宋体"/>
          <w:lang w:val="en-US"/>
        </w:rPr>
        <w:t>respectively.</w:t>
      </w:r>
    </w:p>
    <w:p>
      <w:pPr>
        <w:pStyle w:val="97"/>
        <w:rPr>
          <w:lang w:val="en-US" w:eastAsia="ja-JP"/>
        </w:rPr>
      </w:pPr>
      <w:r>
        <w:rPr>
          <w:lang w:val="en-US" w:eastAsia="ja-JP"/>
        </w:rPr>
        <w:t>-</w:t>
      </w:r>
      <w:r>
        <w:rPr>
          <w:lang w:val="en-US" w:eastAsia="ja-JP"/>
        </w:rPr>
        <w:tab/>
      </w:r>
      <w:r>
        <w:rPr>
          <w:lang w:val="en-US" w:eastAsia="ja-JP"/>
        </w:rPr>
        <w:t>All mandatory Rel-15 features (with or without capability signaling)</w:t>
      </w:r>
    </w:p>
    <w:p>
      <w:pPr>
        <w:pStyle w:val="97"/>
        <w:rPr>
          <w:lang w:val="sv-SE" w:eastAsia="ja-JP"/>
        </w:rPr>
      </w:pPr>
      <w:r>
        <w:rPr>
          <w:lang w:val="sv-SE" w:eastAsia="ja-JP"/>
        </w:rPr>
        <w:t>-</w:t>
      </w:r>
      <w:r>
        <w:rPr>
          <w:lang w:val="sv-SE" w:eastAsia="ja-JP"/>
        </w:rPr>
        <w:tab/>
      </w:r>
      <w:r>
        <w:rPr>
          <w:lang w:val="sv-SE" w:eastAsia="ja-JP"/>
        </w:rPr>
        <w:t>Single RAT</w:t>
      </w:r>
    </w:p>
    <w:p>
      <w:pPr>
        <w:pStyle w:val="97"/>
        <w:rPr>
          <w:lang w:val="en-US" w:eastAsia="ja-JP"/>
        </w:rPr>
      </w:pPr>
      <w:r>
        <w:rPr>
          <w:lang w:val="en-US" w:eastAsia="ja-JP"/>
        </w:rPr>
        <w:t>-</w:t>
      </w:r>
      <w:r>
        <w:rPr>
          <w:lang w:val="en-US" w:eastAsia="ja-JP"/>
        </w:rPr>
        <w:tab/>
      </w:r>
      <w:r>
        <w:rPr>
          <w:lang w:val="en-US" w:eastAsia="ja-JP"/>
        </w:rPr>
        <w:t>Operation in a single band at a time</w:t>
      </w:r>
    </w:p>
    <w:p>
      <w:pPr>
        <w:pStyle w:val="97"/>
        <w:rPr>
          <w:lang w:val="sv-SE" w:eastAsia="ja-JP"/>
        </w:rPr>
      </w:pPr>
      <w:r>
        <w:rPr>
          <w:lang w:val="sv-SE" w:eastAsia="ja-JP"/>
        </w:rPr>
        <w:t>-</w:t>
      </w:r>
      <w:r>
        <w:rPr>
          <w:lang w:val="sv-SE" w:eastAsia="ja-JP"/>
        </w:rPr>
        <w:tab/>
      </w:r>
      <w:r>
        <w:rPr>
          <w:lang w:val="sv-SE" w:eastAsia="ja-JP"/>
        </w:rPr>
        <w:t>Maximum bandwidth:</w:t>
      </w:r>
      <w:r>
        <w:rPr>
          <w:lang w:val="sv-SE"/>
        </w:rPr>
        <w:t xml:space="preserve"> </w:t>
      </w:r>
    </w:p>
    <w:p>
      <w:pPr>
        <w:pStyle w:val="98"/>
        <w:rPr>
          <w:lang w:val="en-US" w:eastAsia="ja-JP"/>
        </w:rPr>
      </w:pPr>
      <w:r>
        <w:rPr>
          <w:lang w:val="en-US" w:eastAsia="ja-JP"/>
        </w:rPr>
        <w:t>-</w:t>
      </w:r>
      <w:r>
        <w:rPr>
          <w:lang w:val="en-US" w:eastAsia="ja-JP"/>
        </w:rPr>
        <w:tab/>
      </w:r>
      <w:r>
        <w:rPr>
          <w:lang w:val="en-US" w:eastAsia="ja-JP"/>
        </w:rPr>
        <w:t>For FR1: 100 MHz for DL and UL</w:t>
      </w:r>
    </w:p>
    <w:p>
      <w:pPr>
        <w:pStyle w:val="97"/>
        <w:rPr>
          <w:lang w:val="sv-SE" w:eastAsia="ja-JP"/>
        </w:rPr>
      </w:pPr>
      <w:r>
        <w:rPr>
          <w:lang w:val="sv-SE" w:eastAsia="ja-JP"/>
        </w:rPr>
        <w:t>-</w:t>
      </w:r>
      <w:r>
        <w:rPr>
          <w:lang w:val="sv-SE" w:eastAsia="ja-JP"/>
        </w:rPr>
        <w:tab/>
      </w:r>
      <w:r>
        <w:rPr>
          <w:lang w:val="sv-SE" w:eastAsia="ja-JP"/>
        </w:rPr>
        <w:t>Antennas:</w:t>
      </w:r>
      <w:r>
        <w:rPr>
          <w:lang w:val="sv-SE"/>
        </w:rPr>
        <w:t xml:space="preserve"> </w:t>
      </w:r>
    </w:p>
    <w:p>
      <w:pPr>
        <w:pStyle w:val="98"/>
        <w:rPr>
          <w:lang w:val="sv-SE" w:eastAsia="ja-JP"/>
        </w:rPr>
      </w:pPr>
      <w:r>
        <w:rPr>
          <w:lang w:val="sv-SE" w:eastAsia="ja-JP"/>
        </w:rPr>
        <w:t>-</w:t>
      </w:r>
      <w:r>
        <w:rPr>
          <w:lang w:val="sv-SE" w:eastAsia="ja-JP"/>
        </w:rPr>
        <w:tab/>
      </w:r>
      <w:r>
        <w:rPr>
          <w:lang w:val="sv-SE" w:eastAsia="ja-JP"/>
        </w:rPr>
        <w:t>For FR1 FDD: 2Rx/1Tx</w:t>
      </w:r>
    </w:p>
    <w:p>
      <w:pPr>
        <w:pStyle w:val="98"/>
        <w:rPr>
          <w:lang w:val="sv-SE" w:eastAsia="ja-JP"/>
        </w:rPr>
      </w:pPr>
      <w:r>
        <w:rPr>
          <w:lang w:val="sv-SE" w:eastAsia="ja-JP"/>
        </w:rPr>
        <w:t>-</w:t>
      </w:r>
      <w:r>
        <w:rPr>
          <w:lang w:val="sv-SE" w:eastAsia="ja-JP"/>
        </w:rPr>
        <w:tab/>
      </w:r>
      <w:r>
        <w:rPr>
          <w:lang w:val="sv-SE" w:eastAsia="ja-JP"/>
        </w:rPr>
        <w:t>For FR1 TDD: 4Rx/1Tx</w:t>
      </w:r>
    </w:p>
    <w:p>
      <w:pPr>
        <w:pStyle w:val="97"/>
        <w:rPr>
          <w:lang w:val="sv-SE" w:eastAsia="ja-JP"/>
        </w:rPr>
      </w:pPr>
      <w:r>
        <w:rPr>
          <w:lang w:val="sv-SE" w:eastAsia="ja-JP"/>
        </w:rPr>
        <w:t>-</w:t>
      </w:r>
      <w:r>
        <w:rPr>
          <w:lang w:val="sv-SE" w:eastAsia="ja-JP"/>
        </w:rPr>
        <w:tab/>
      </w:r>
      <w:r>
        <w:rPr>
          <w:lang w:val="sv-SE" w:eastAsia="ja-JP"/>
        </w:rPr>
        <w:t>Power class: PC3</w:t>
      </w:r>
    </w:p>
    <w:p>
      <w:pPr>
        <w:pStyle w:val="97"/>
        <w:rPr>
          <w:lang w:val="sv-SE" w:eastAsia="ja-JP"/>
        </w:rPr>
      </w:pPr>
      <w:r>
        <w:rPr>
          <w:lang w:val="sv-SE" w:eastAsia="ja-JP"/>
        </w:rPr>
        <w:t>-</w:t>
      </w:r>
      <w:r>
        <w:rPr>
          <w:lang w:val="sv-SE" w:eastAsia="ja-JP"/>
        </w:rPr>
        <w:tab/>
      </w:r>
      <w:r>
        <w:rPr>
          <w:lang w:val="sv-SE" w:eastAsia="ja-JP"/>
        </w:rPr>
        <w:t>Processing time: Capability 1</w:t>
      </w:r>
    </w:p>
    <w:p>
      <w:pPr>
        <w:pStyle w:val="97"/>
        <w:rPr>
          <w:lang w:val="sv-SE" w:eastAsia="ja-JP"/>
        </w:rPr>
      </w:pPr>
      <w:r>
        <w:rPr>
          <w:lang w:val="sv-SE" w:eastAsia="ja-JP"/>
        </w:rPr>
        <w:t>-</w:t>
      </w:r>
      <w:r>
        <w:rPr>
          <w:lang w:val="sv-SE" w:eastAsia="ja-JP"/>
        </w:rPr>
        <w:tab/>
      </w:r>
      <w:r>
        <w:rPr>
          <w:lang w:val="sv-SE" w:eastAsia="ja-JP"/>
        </w:rPr>
        <w:t xml:space="preserve">Modulation: </w:t>
      </w:r>
    </w:p>
    <w:p>
      <w:pPr>
        <w:pStyle w:val="98"/>
        <w:rPr>
          <w:lang w:val="en-US" w:eastAsia="ja-JP"/>
        </w:rPr>
      </w:pPr>
      <w:r>
        <w:rPr>
          <w:lang w:val="en-US" w:eastAsia="ja-JP"/>
        </w:rPr>
        <w:t>-</w:t>
      </w:r>
      <w:r>
        <w:rPr>
          <w:lang w:val="en-US" w:eastAsia="ja-JP"/>
        </w:rPr>
        <w:tab/>
      </w:r>
      <w:r>
        <w:rPr>
          <w:lang w:val="en-US" w:eastAsia="ja-JP"/>
        </w:rPr>
        <w:t>For FR1: support 256QAM for DL and 64QAM for UL</w:t>
      </w:r>
    </w:p>
    <w:p>
      <w:pPr>
        <w:pStyle w:val="97"/>
        <w:rPr>
          <w:lang w:val="en-US" w:eastAsia="ja-JP"/>
        </w:rPr>
      </w:pPr>
      <w:r>
        <w:rPr>
          <w:lang w:val="en-US" w:eastAsia="ja-JP"/>
        </w:rPr>
        <w:t>-</w:t>
      </w:r>
      <w:r>
        <w:rPr>
          <w:lang w:val="en-US" w:eastAsia="ja-JP"/>
        </w:rPr>
        <w:tab/>
      </w:r>
      <w:r>
        <w:rPr>
          <w:lang w:val="en-US" w:eastAsia="ja-JP"/>
        </w:rPr>
        <w:t>Access: Direct DL/UL access between UE and gNB</w:t>
      </w:r>
    </w:p>
    <w:p>
      <w:pPr>
        <w:bidi w:val="0"/>
        <w:rPr>
          <w:rFonts w:hint="default"/>
          <w:lang w:val="en-US" w:eastAsia="ja-JP"/>
        </w:rPr>
      </w:pPr>
      <w:r>
        <w:rPr>
          <w:rFonts w:hint="default"/>
          <w:lang w:val="en-US" w:eastAsia="ja-JP"/>
        </w:rPr>
        <w:t>And the cost reduction should be compared for R17 RedCap UEs and R18 RedCap UEs with the two cost reduction solutions. The detail configurations for FR1 are listed in the following Table 1, where R17 RedCap with the basic configuration such as 1Rx is considered. The reason is that R17 RedCap already support lower cost with only 1Rx, the cost reduction gain should be based on the low end R17 RedCap devices not the high end ones.</w:t>
      </w:r>
    </w:p>
    <w:p>
      <w:pPr>
        <w:bidi w:val="0"/>
        <w:rPr>
          <w:rFonts w:hint="default"/>
          <w:lang w:val="en-US" w:eastAsia="ja-JP"/>
        </w:rPr>
      </w:pPr>
      <w:r>
        <w:rPr>
          <w:rFonts w:hint="default"/>
          <w:lang w:val="en-US" w:eastAsia="ja-JP"/>
        </w:rPr>
        <w:t xml:space="preserve">Then the cost reduction ratio is compared with reference NR devices for two R18 complexity solutions and R17 RedCap. When down selecting the R18 schemes, the additional cost reduction gain compared to R17 RedCap should be considered. </w:t>
      </w:r>
    </w:p>
    <w:p>
      <w:pPr>
        <w:pStyle w:val="97"/>
        <w:jc w:val="center"/>
        <w:rPr>
          <w:rFonts w:hint="default"/>
          <w:b/>
          <w:bCs/>
          <w:lang w:val="en-US" w:eastAsia="ja-JP"/>
        </w:rPr>
      </w:pPr>
      <w:r>
        <w:rPr>
          <w:rFonts w:hint="default"/>
          <w:b/>
          <w:bCs/>
          <w:lang w:val="en-US" w:eastAsia="ja-JP"/>
        </w:rPr>
        <w:t>Table 1: Evaluation configuration for R18 RedCap</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1"/>
        <w:gridCol w:w="1971"/>
        <w:gridCol w:w="1971"/>
        <w:gridCol w:w="1971"/>
        <w:gridCol w:w="1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single" w:color="000000" w:sz="8" w:space="0"/>
              <w:left w:val="dotted" w:color="auto" w:sz="4" w:space="0"/>
              <w:bottom w:val="single" w:color="000000" w:sz="8" w:space="0"/>
              <w:right w:val="dotted" w:color="auto" w:sz="4" w:space="0"/>
            </w:tcBorders>
            <w:shd w:val="clear" w:color="auto" w:fill="D7D7D7" w:themeFill="background1" w:themeFillShade="D8"/>
          </w:tcPr>
          <w:p>
            <w:pPr>
              <w:pStyle w:val="97"/>
              <w:overflowPunct w:val="0"/>
              <w:autoSpaceDE w:val="0"/>
              <w:autoSpaceDN w:val="0"/>
              <w:adjustRightInd w:val="0"/>
              <w:textAlignment w:val="baseline"/>
              <w:rPr>
                <w:rFonts w:hint="default"/>
                <w:b/>
                <w:bCs/>
                <w:color w:val="000000"/>
                <w:vertAlign w:val="baseline"/>
                <w:lang w:val="en-US" w:eastAsia="zh-CN"/>
              </w:rPr>
            </w:pPr>
            <w:r>
              <w:rPr>
                <w:rFonts w:hint="default"/>
                <w:b/>
                <w:bCs/>
                <w:color w:val="000000"/>
                <w:vertAlign w:val="baseline"/>
                <w:lang w:val="en-US" w:eastAsia="zh-CN"/>
              </w:rPr>
              <w:t>Parameters</w:t>
            </w:r>
          </w:p>
        </w:tc>
        <w:tc>
          <w:tcPr>
            <w:tcW w:w="1971" w:type="dxa"/>
            <w:tcBorders>
              <w:top w:val="single" w:color="000000" w:sz="8" w:space="0"/>
              <w:left w:val="dotted" w:color="auto" w:sz="4" w:space="0"/>
              <w:bottom w:val="single" w:color="000000" w:sz="8" w:space="0"/>
              <w:right w:val="dotted" w:color="auto" w:sz="4" w:space="0"/>
            </w:tcBorders>
            <w:shd w:val="clear" w:color="auto" w:fill="D7D7D7" w:themeFill="background1" w:themeFillShade="D8"/>
          </w:tcPr>
          <w:p>
            <w:pPr>
              <w:pStyle w:val="97"/>
              <w:overflowPunct w:val="0"/>
              <w:autoSpaceDE w:val="0"/>
              <w:autoSpaceDN w:val="0"/>
              <w:adjustRightInd w:val="0"/>
              <w:ind w:left="0" w:leftChars="0" w:firstLine="0" w:firstLineChars="0"/>
              <w:textAlignment w:val="baseline"/>
              <w:rPr>
                <w:rFonts w:hint="default"/>
                <w:b/>
                <w:bCs/>
                <w:color w:val="000000"/>
                <w:vertAlign w:val="baseline"/>
                <w:lang w:val="en-US" w:eastAsia="zh-CN"/>
              </w:rPr>
            </w:pPr>
            <w:r>
              <w:rPr>
                <w:rFonts w:hint="default"/>
                <w:b/>
                <w:bCs/>
                <w:color w:val="000000"/>
                <w:vertAlign w:val="baseline"/>
                <w:lang w:val="en-US" w:eastAsia="zh-CN"/>
              </w:rPr>
              <w:t>Reference NR device</w:t>
            </w:r>
          </w:p>
        </w:tc>
        <w:tc>
          <w:tcPr>
            <w:tcW w:w="1971" w:type="dxa"/>
            <w:tcBorders>
              <w:top w:val="single" w:color="000000" w:sz="8" w:space="0"/>
              <w:left w:val="dotted" w:color="auto" w:sz="4" w:space="0"/>
              <w:bottom w:val="single" w:color="000000" w:sz="8" w:space="0"/>
              <w:right w:val="dotted" w:color="auto" w:sz="4" w:space="0"/>
            </w:tcBorders>
            <w:shd w:val="clear" w:color="auto" w:fill="D7D7D7" w:themeFill="background1" w:themeFillShade="D8"/>
          </w:tcPr>
          <w:p>
            <w:pPr>
              <w:pStyle w:val="97"/>
              <w:overflowPunct w:val="0"/>
              <w:autoSpaceDE w:val="0"/>
              <w:autoSpaceDN w:val="0"/>
              <w:adjustRightInd w:val="0"/>
              <w:textAlignment w:val="baseline"/>
              <w:rPr>
                <w:rFonts w:hint="default"/>
                <w:b/>
                <w:bCs/>
                <w:color w:val="000000"/>
                <w:vertAlign w:val="baseline"/>
                <w:lang w:val="en-US" w:eastAsia="zh-CN"/>
              </w:rPr>
            </w:pPr>
            <w:r>
              <w:rPr>
                <w:rFonts w:hint="default"/>
                <w:b/>
                <w:bCs/>
                <w:color w:val="000000"/>
                <w:vertAlign w:val="baseline"/>
                <w:lang w:val="en-US" w:eastAsia="zh-CN"/>
              </w:rPr>
              <w:t>R17 RedCap</w:t>
            </w:r>
          </w:p>
        </w:tc>
        <w:tc>
          <w:tcPr>
            <w:tcW w:w="1971" w:type="dxa"/>
            <w:tcBorders>
              <w:top w:val="single" w:color="000000" w:sz="8" w:space="0"/>
              <w:left w:val="dotted" w:color="auto" w:sz="4" w:space="0"/>
              <w:bottom w:val="single" w:color="000000" w:sz="8" w:space="0"/>
              <w:right w:val="dotted" w:color="auto" w:sz="4" w:space="0"/>
            </w:tcBorders>
            <w:shd w:val="clear" w:color="auto" w:fill="D7D7D7" w:themeFill="background1" w:themeFillShade="D8"/>
          </w:tcPr>
          <w:p>
            <w:pPr>
              <w:pStyle w:val="97"/>
              <w:overflowPunct w:val="0"/>
              <w:autoSpaceDE w:val="0"/>
              <w:autoSpaceDN w:val="0"/>
              <w:adjustRightInd w:val="0"/>
              <w:ind w:left="0" w:leftChars="0" w:firstLine="0" w:firstLineChars="0"/>
              <w:jc w:val="center"/>
              <w:textAlignment w:val="baseline"/>
              <w:rPr>
                <w:rFonts w:hint="default"/>
                <w:b/>
                <w:bCs/>
                <w:color w:val="000000"/>
                <w:vertAlign w:val="baseline"/>
                <w:lang w:val="en-US" w:eastAsia="zh-CN"/>
              </w:rPr>
            </w:pPr>
            <w:r>
              <w:rPr>
                <w:rFonts w:hint="default"/>
                <w:b/>
                <w:bCs/>
                <w:color w:val="000000"/>
                <w:vertAlign w:val="baseline"/>
                <w:lang w:val="en-US" w:eastAsia="zh-CN"/>
              </w:rPr>
              <w:t>R18 5MHz bandwidth</w:t>
            </w:r>
          </w:p>
        </w:tc>
        <w:tc>
          <w:tcPr>
            <w:tcW w:w="1971" w:type="dxa"/>
            <w:tcBorders>
              <w:top w:val="single" w:color="000000" w:sz="8" w:space="0"/>
              <w:left w:val="dotted" w:color="auto" w:sz="4" w:space="0"/>
              <w:bottom w:val="single" w:color="000000" w:sz="8" w:space="0"/>
              <w:right w:val="dotted" w:color="auto" w:sz="4" w:space="0"/>
            </w:tcBorders>
            <w:shd w:val="clear" w:color="auto" w:fill="D7D7D7" w:themeFill="background1" w:themeFillShade="D8"/>
          </w:tcPr>
          <w:p>
            <w:pPr>
              <w:pStyle w:val="97"/>
              <w:overflowPunct w:val="0"/>
              <w:autoSpaceDE w:val="0"/>
              <w:autoSpaceDN w:val="0"/>
              <w:adjustRightInd w:val="0"/>
              <w:ind w:left="0" w:leftChars="0" w:firstLine="0" w:firstLineChars="0"/>
              <w:jc w:val="center"/>
              <w:textAlignment w:val="baseline"/>
              <w:rPr>
                <w:rFonts w:hint="default"/>
                <w:b/>
                <w:bCs/>
                <w:color w:val="000000"/>
                <w:vertAlign w:val="baseline"/>
                <w:lang w:val="en-US" w:eastAsia="zh-CN"/>
              </w:rPr>
            </w:pPr>
            <w:r>
              <w:rPr>
                <w:rFonts w:hint="default"/>
                <w:b/>
                <w:bCs/>
                <w:color w:val="000000"/>
                <w:vertAlign w:val="baseline"/>
                <w:lang w:val="en-US" w:eastAsia="zh-CN"/>
              </w:rPr>
              <w:t>R18 reduced peak data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single" w:color="000000" w:sz="8"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UE feature</w:t>
            </w:r>
          </w:p>
        </w:tc>
        <w:tc>
          <w:tcPr>
            <w:tcW w:w="7884" w:type="dxa"/>
            <w:gridSpan w:val="4"/>
            <w:tcBorders>
              <w:top w:val="single" w:color="000000" w:sz="8"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en-US" w:eastAsia="ja-JP"/>
              </w:rPr>
              <w:t>All mandatory Rel-15 features (with or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Number of RATs</w:t>
            </w:r>
          </w:p>
        </w:tc>
        <w:tc>
          <w:tcPr>
            <w:tcW w:w="7884" w:type="dxa"/>
            <w:gridSpan w:val="4"/>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Single RAT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Number of bands</w:t>
            </w:r>
          </w:p>
        </w:tc>
        <w:tc>
          <w:tcPr>
            <w:tcW w:w="7884" w:type="dxa"/>
            <w:gridSpan w:val="4"/>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en-US" w:eastAsia="ja-JP"/>
              </w:rPr>
              <w:t>Operation in a single band at a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ind w:left="0" w:leftChars="0" w:firstLine="0" w:firstLineChars="0"/>
              <w:jc w:val="both"/>
              <w:textAlignment w:val="baseline"/>
              <w:rPr>
                <w:rFonts w:hint="default"/>
                <w:color w:val="000000"/>
                <w:vertAlign w:val="baseline"/>
                <w:lang w:val="en-US" w:eastAsia="zh-CN"/>
              </w:rPr>
            </w:pPr>
            <w:r>
              <w:rPr>
                <w:color w:val="000000"/>
                <w:lang w:val="sv-SE" w:eastAsia="ja-JP"/>
              </w:rPr>
              <w:t>Maximum bandwidth</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ind w:left="0" w:leftChars="0" w:firstLine="0" w:firstLineChars="0"/>
              <w:jc w:val="center"/>
              <w:textAlignment w:val="baseline"/>
              <w:rPr>
                <w:rFonts w:hint="default"/>
                <w:color w:val="000000"/>
                <w:vertAlign w:val="baseline"/>
                <w:lang w:val="en-US" w:eastAsia="zh-CN"/>
              </w:rPr>
            </w:pPr>
            <w:r>
              <w:rPr>
                <w:color w:val="000000"/>
                <w:lang w:val="en-US" w:eastAsia="ja-JP"/>
              </w:rPr>
              <w:t>100 MHz for DL and UL</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20MHz for DL and UL</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5MHz for DL and UL</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vertAlign w:val="baseline"/>
                <w:lang w:val="en-US" w:eastAsia="zh-CN"/>
              </w:rPr>
              <w:t xml:space="preserve">20MHz RF with </w:t>
            </w:r>
            <w:r>
              <w:rPr>
                <w:color w:val="000000"/>
                <w:lang w:eastAsia="ja-JP"/>
              </w:rPr>
              <w:t>restricted bandwidth for PDSCH and/or PUSCH</w:t>
            </w:r>
            <w:r>
              <w:rPr>
                <w:rFonts w:hint="default"/>
                <w:color w:val="000000"/>
                <w:vertAlign w:val="baseline"/>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Antennas</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8"/>
              <w:overflowPunct w:val="0"/>
              <w:autoSpaceDE w:val="0"/>
              <w:autoSpaceDN w:val="0"/>
              <w:adjustRightInd w:val="0"/>
              <w:ind w:left="0" w:leftChars="0" w:firstLine="0" w:firstLineChars="0"/>
              <w:jc w:val="left"/>
              <w:textAlignment w:val="baseline"/>
              <w:rPr>
                <w:color w:val="000000"/>
                <w:lang w:val="sv-SE" w:eastAsia="ja-JP"/>
              </w:rPr>
            </w:pPr>
            <w:r>
              <w:rPr>
                <w:color w:val="000000"/>
                <w:lang w:val="sv-SE" w:eastAsia="ja-JP"/>
              </w:rPr>
              <w:t>-</w:t>
            </w:r>
            <w:r>
              <w:rPr>
                <w:color w:val="000000"/>
                <w:lang w:val="sv-SE" w:eastAsia="ja-JP"/>
              </w:rPr>
              <w:tab/>
            </w:r>
            <w:r>
              <w:rPr>
                <w:color w:val="000000"/>
                <w:lang w:val="sv-SE" w:eastAsia="ja-JP"/>
              </w:rPr>
              <w:t>For FR1 FDD: 2Rx/1Tx</w:t>
            </w:r>
          </w:p>
          <w:p>
            <w:pPr>
              <w:pStyle w:val="98"/>
              <w:overflowPunct w:val="0"/>
              <w:autoSpaceDE w:val="0"/>
              <w:autoSpaceDN w:val="0"/>
              <w:adjustRightInd w:val="0"/>
              <w:ind w:left="0" w:leftChars="0" w:firstLine="0" w:firstLineChars="0"/>
              <w:jc w:val="left"/>
              <w:textAlignment w:val="baseline"/>
              <w:rPr>
                <w:rFonts w:hint="default"/>
                <w:color w:val="000000"/>
                <w:vertAlign w:val="baseline"/>
                <w:lang w:val="en-US" w:eastAsia="zh-CN"/>
              </w:rPr>
            </w:pPr>
            <w:r>
              <w:rPr>
                <w:color w:val="000000"/>
                <w:lang w:val="sv-SE" w:eastAsia="ja-JP"/>
              </w:rPr>
              <w:t>-</w:t>
            </w:r>
            <w:r>
              <w:rPr>
                <w:color w:val="000000"/>
                <w:lang w:val="sv-SE" w:eastAsia="ja-JP"/>
              </w:rPr>
              <w:tab/>
            </w:r>
            <w:r>
              <w:rPr>
                <w:color w:val="000000"/>
                <w:lang w:val="sv-SE" w:eastAsia="ja-JP"/>
              </w:rPr>
              <w:t>For FR1 TDD: 4Rx/1Tx</w:t>
            </w:r>
          </w:p>
        </w:tc>
        <w:tc>
          <w:tcPr>
            <w:tcW w:w="5913" w:type="dxa"/>
            <w:gridSpan w:val="3"/>
            <w:tcBorders>
              <w:top w:val="dotted" w:color="auto" w:sz="4" w:space="0"/>
              <w:left w:val="dotted" w:color="auto" w:sz="4" w:space="0"/>
              <w:bottom w:val="dotted" w:color="auto" w:sz="4" w:space="0"/>
              <w:right w:val="dotted" w:color="auto" w:sz="4" w:space="0"/>
            </w:tcBorders>
            <w:shd w:val="clear" w:color="auto" w:fill="FFFFFF"/>
          </w:tcPr>
          <w:p>
            <w:pPr>
              <w:pStyle w:val="98"/>
              <w:overflowPunct w:val="0"/>
              <w:autoSpaceDE w:val="0"/>
              <w:autoSpaceDN w:val="0"/>
              <w:adjustRightInd w:val="0"/>
              <w:ind w:left="0" w:leftChars="0" w:firstLine="0" w:firstLineChars="0"/>
              <w:jc w:val="center"/>
              <w:textAlignment w:val="baseline"/>
              <w:rPr>
                <w:color w:val="000000"/>
                <w:lang w:val="sv-SE" w:eastAsia="ja-JP"/>
              </w:rPr>
            </w:pPr>
            <w:r>
              <w:rPr>
                <w:color w:val="000000"/>
                <w:lang w:val="sv-SE" w:eastAsia="ja-JP"/>
              </w:rPr>
              <w:t>-</w:t>
            </w:r>
            <w:r>
              <w:rPr>
                <w:color w:val="000000"/>
                <w:lang w:val="sv-SE" w:eastAsia="ja-JP"/>
              </w:rPr>
              <w:tab/>
            </w:r>
            <w:r>
              <w:rPr>
                <w:color w:val="000000"/>
                <w:lang w:val="sv-SE" w:eastAsia="ja-JP"/>
              </w:rPr>
              <w:t xml:space="preserve">For FR1 FDD: </w:t>
            </w:r>
            <w:r>
              <w:rPr>
                <w:rFonts w:hint="default"/>
                <w:color w:val="000000"/>
                <w:lang w:val="en-US" w:eastAsia="ja-JP"/>
              </w:rPr>
              <w:t>1Rx/</w:t>
            </w:r>
            <w:r>
              <w:rPr>
                <w:color w:val="000000"/>
                <w:lang w:val="sv-SE" w:eastAsia="ja-JP"/>
              </w:rPr>
              <w:t>1Tx</w:t>
            </w:r>
          </w:p>
          <w:p>
            <w:pPr>
              <w:pStyle w:val="97"/>
              <w:overflowPunct w:val="0"/>
              <w:autoSpaceDE w:val="0"/>
              <w:autoSpaceDN w:val="0"/>
              <w:adjustRightInd w:val="0"/>
              <w:ind w:left="0" w:leftChars="0" w:firstLine="0" w:firstLineChars="0"/>
              <w:jc w:val="center"/>
              <w:textAlignment w:val="baseline"/>
              <w:rPr>
                <w:rFonts w:hint="default"/>
                <w:color w:val="000000"/>
                <w:vertAlign w:val="baseline"/>
                <w:lang w:val="en-US" w:eastAsia="zh-CN"/>
              </w:rPr>
            </w:pPr>
            <w:r>
              <w:rPr>
                <w:color w:val="000000"/>
                <w:lang w:val="sv-SE" w:eastAsia="ja-JP"/>
              </w:rPr>
              <w:t>-</w:t>
            </w:r>
            <w:r>
              <w:rPr>
                <w:color w:val="000000"/>
                <w:lang w:val="sv-SE" w:eastAsia="ja-JP"/>
              </w:rPr>
              <w:tab/>
            </w:r>
            <w:r>
              <w:rPr>
                <w:color w:val="000000"/>
                <w:lang w:val="sv-SE" w:eastAsia="ja-JP"/>
              </w:rPr>
              <w:t xml:space="preserve">For FR1 TDD: </w:t>
            </w:r>
            <w:r>
              <w:rPr>
                <w:rFonts w:hint="default"/>
                <w:color w:val="000000"/>
                <w:lang w:val="en-US" w:eastAsia="ja-JP"/>
              </w:rPr>
              <w:t>1Rx/</w:t>
            </w:r>
            <w:r>
              <w:rPr>
                <w:color w:val="000000"/>
                <w:lang w:val="sv-SE" w:eastAsia="ja-JP"/>
              </w:rPr>
              <w:t>1Tx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Power class</w:t>
            </w:r>
          </w:p>
        </w:tc>
        <w:tc>
          <w:tcPr>
            <w:tcW w:w="7884" w:type="dxa"/>
            <w:gridSpan w:val="4"/>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PC3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Processing time</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Capability 1</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sv-SE" w:eastAsia="ja-JP"/>
              </w:rPr>
              <w:t>Capability 1</w:t>
            </w:r>
          </w:p>
        </w:tc>
        <w:tc>
          <w:tcPr>
            <w:tcW w:w="3942" w:type="dxa"/>
            <w:gridSpan w:val="2"/>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color w:val="000000"/>
                <w:lang w:val="sv-SE" w:eastAsia="ja-JP"/>
              </w:rPr>
            </w:pPr>
            <w:r>
              <w:rPr>
                <w:rFonts w:hint="default"/>
                <w:color w:val="000000"/>
                <w:vertAlign w:val="baseline"/>
                <w:lang w:val="en-US" w:eastAsia="zh-CN"/>
              </w:rPr>
              <w:t>Case 1:</w:t>
            </w:r>
            <w:r>
              <w:rPr>
                <w:color w:val="000000"/>
                <w:lang w:val="sv-SE" w:eastAsia="ja-JP"/>
              </w:rPr>
              <w:t>Capability 1</w:t>
            </w:r>
          </w:p>
          <w:p>
            <w:pPr>
              <w:pStyle w:val="97"/>
              <w:overflowPunct w:val="0"/>
              <w:autoSpaceDE w:val="0"/>
              <w:autoSpaceDN w:val="0"/>
              <w:adjustRightInd w:val="0"/>
              <w:jc w:val="center"/>
              <w:textAlignment w:val="baseline"/>
              <w:rPr>
                <w:rFonts w:hint="default"/>
                <w:color w:val="000000"/>
                <w:vertAlign w:val="baseline"/>
                <w:lang w:val="en-US" w:eastAsia="zh-CN"/>
              </w:rPr>
            </w:pPr>
            <w:r>
              <w:rPr>
                <w:rFonts w:hint="default"/>
                <w:color w:val="000000"/>
                <w:lang w:val="en-US" w:eastAsia="ja-JP"/>
              </w:rPr>
              <w:t>Case 2:</w:t>
            </w:r>
            <w:r>
              <w:rPr>
                <w:color w:val="000000"/>
                <w:lang w:eastAsia="ja-JP"/>
              </w:rPr>
              <w:t xml:space="preserve"> </w:t>
            </w:r>
            <w:r>
              <w:rPr>
                <w:rFonts w:hint="default"/>
                <w:color w:val="000000"/>
                <w:lang w:val="en-US" w:eastAsia="ja-JP"/>
              </w:rPr>
              <w:t>R</w:t>
            </w:r>
            <w:r>
              <w:rPr>
                <w:color w:val="000000"/>
                <w:lang w:eastAsia="ja-JP"/>
              </w:rPr>
              <w:t>elaxed UE processing timeline for PDSCH and/or PUSCH and/or CSI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color w:val="000000"/>
                <w:lang w:val="sv-SE" w:eastAsia="ja-JP"/>
              </w:rPr>
            </w:pPr>
            <w:r>
              <w:rPr>
                <w:color w:val="000000"/>
                <w:lang w:val="sv-SE" w:eastAsia="ja-JP"/>
              </w:rPr>
              <w:t>Modulation</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ind w:left="0" w:leftChars="0" w:firstLine="0" w:firstLineChars="0"/>
              <w:jc w:val="both"/>
              <w:textAlignment w:val="baseline"/>
              <w:rPr>
                <w:rFonts w:hint="default"/>
                <w:color w:val="000000"/>
                <w:vertAlign w:val="baseline"/>
                <w:lang w:val="en-US" w:eastAsia="zh-CN"/>
              </w:rPr>
            </w:pPr>
            <w:r>
              <w:rPr>
                <w:color w:val="000000"/>
                <w:lang w:val="en-US" w:eastAsia="ja-JP"/>
              </w:rPr>
              <w:t>support 256QAM for DL and 64QAM for UL</w:t>
            </w:r>
          </w:p>
        </w:tc>
        <w:tc>
          <w:tcPr>
            <w:tcW w:w="5913" w:type="dxa"/>
            <w:gridSpan w:val="3"/>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en-US" w:eastAsia="ja-JP"/>
              </w:rPr>
              <w:t xml:space="preserve">support </w:t>
            </w:r>
            <w:r>
              <w:rPr>
                <w:rFonts w:hint="default"/>
                <w:color w:val="000000"/>
                <w:lang w:val="en-US" w:eastAsia="ja-JP"/>
              </w:rPr>
              <w:t>64</w:t>
            </w:r>
            <w:r>
              <w:rPr>
                <w:color w:val="000000"/>
                <w:lang w:val="en-US" w:eastAsia="ja-JP"/>
              </w:rPr>
              <w:t>QAM for DL and 64QAM for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lang w:val="en-US" w:eastAsia="ja-JP"/>
              </w:rPr>
            </w:pPr>
            <w:r>
              <w:rPr>
                <w:rFonts w:hint="default"/>
                <w:color w:val="000000"/>
                <w:lang w:val="en-US" w:eastAsia="ja-JP"/>
              </w:rPr>
              <w:t>Duplex mode</w:t>
            </w:r>
          </w:p>
        </w:tc>
        <w:tc>
          <w:tcPr>
            <w:tcW w:w="1971" w:type="dxa"/>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ind w:left="0" w:leftChars="0" w:firstLine="0" w:firstLineChars="0"/>
              <w:jc w:val="center"/>
              <w:textAlignment w:val="baseline"/>
              <w:rPr>
                <w:rFonts w:hint="default"/>
                <w:color w:val="000000"/>
                <w:lang w:val="en-US" w:eastAsia="ja-JP"/>
              </w:rPr>
            </w:pPr>
            <w:r>
              <w:rPr>
                <w:rFonts w:hint="default"/>
                <w:color w:val="000000"/>
                <w:lang w:val="en-US" w:eastAsia="ja-JP"/>
              </w:rPr>
              <w:t>TDD, FDD</w:t>
            </w:r>
          </w:p>
        </w:tc>
        <w:tc>
          <w:tcPr>
            <w:tcW w:w="5913" w:type="dxa"/>
            <w:gridSpan w:val="3"/>
            <w:tcBorders>
              <w:top w:val="dotted" w:color="auto" w:sz="4" w:space="0"/>
              <w:left w:val="dotted" w:color="auto" w:sz="4" w:space="0"/>
              <w:bottom w:val="dotted" w:color="auto" w:sz="4"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lang w:val="en-US" w:eastAsia="ja-JP"/>
              </w:rPr>
            </w:pPr>
            <w:r>
              <w:rPr>
                <w:rFonts w:hint="default"/>
                <w:color w:val="000000"/>
                <w:lang w:val="en-US" w:eastAsia="ja-JP"/>
              </w:rPr>
              <w:t>TDD, HD-FDD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1" w:type="dxa"/>
            <w:tcBorders>
              <w:top w:val="dotted" w:color="auto" w:sz="4" w:space="0"/>
              <w:left w:val="dotted" w:color="auto" w:sz="4" w:space="0"/>
              <w:bottom w:val="single" w:color="000000" w:sz="8" w:space="0"/>
              <w:right w:val="dotted" w:color="auto" w:sz="4" w:space="0"/>
            </w:tcBorders>
            <w:shd w:val="clear" w:color="auto" w:fill="FFFFFF"/>
          </w:tcPr>
          <w:p>
            <w:pPr>
              <w:pStyle w:val="97"/>
              <w:overflowPunct w:val="0"/>
              <w:autoSpaceDE w:val="0"/>
              <w:autoSpaceDN w:val="0"/>
              <w:adjustRightInd w:val="0"/>
              <w:jc w:val="center"/>
              <w:textAlignment w:val="baseline"/>
              <w:rPr>
                <w:color w:val="000000"/>
                <w:lang w:val="sv-SE" w:eastAsia="ja-JP"/>
              </w:rPr>
            </w:pPr>
            <w:r>
              <w:rPr>
                <w:color w:val="000000"/>
                <w:lang w:val="en-US" w:eastAsia="ja-JP"/>
              </w:rPr>
              <w:t>Access</w:t>
            </w:r>
          </w:p>
        </w:tc>
        <w:tc>
          <w:tcPr>
            <w:tcW w:w="7884" w:type="dxa"/>
            <w:gridSpan w:val="4"/>
            <w:tcBorders>
              <w:top w:val="dotted" w:color="auto" w:sz="4" w:space="0"/>
              <w:left w:val="dotted" w:color="auto" w:sz="4" w:space="0"/>
              <w:bottom w:val="single" w:color="000000" w:sz="8" w:space="0"/>
              <w:right w:val="dotted" w:color="auto" w:sz="4" w:space="0"/>
            </w:tcBorders>
            <w:shd w:val="clear" w:color="auto" w:fill="FFFFFF"/>
          </w:tcPr>
          <w:p>
            <w:pPr>
              <w:pStyle w:val="97"/>
              <w:overflowPunct w:val="0"/>
              <w:autoSpaceDE w:val="0"/>
              <w:autoSpaceDN w:val="0"/>
              <w:adjustRightInd w:val="0"/>
              <w:jc w:val="center"/>
              <w:textAlignment w:val="baseline"/>
              <w:rPr>
                <w:rFonts w:hint="default"/>
                <w:color w:val="000000"/>
                <w:vertAlign w:val="baseline"/>
                <w:lang w:val="en-US" w:eastAsia="zh-CN"/>
              </w:rPr>
            </w:pPr>
            <w:r>
              <w:rPr>
                <w:color w:val="000000"/>
                <w:lang w:val="en-US" w:eastAsia="ja-JP"/>
              </w:rPr>
              <w:t>Direct DL/UL access between UE and gNB</w:t>
            </w:r>
          </w:p>
        </w:tc>
      </w:tr>
    </w:tbl>
    <w:p>
      <w:pPr>
        <w:pStyle w:val="97"/>
        <w:ind w:left="0" w:leftChars="0" w:firstLine="0" w:firstLineChars="0"/>
        <w:jc w:val="left"/>
        <w:rPr>
          <w:rFonts w:hint="default"/>
          <w:lang w:val="en-US"/>
        </w:rPr>
      </w:pPr>
      <w:r>
        <w:rPr>
          <w:rFonts w:hint="default"/>
          <w:lang w:val="en-US" w:eastAsia="zh-CN"/>
        </w:rPr>
        <w:t xml:space="preserve">Since the </w:t>
      </w:r>
      <w:r>
        <w:rPr>
          <w:rFonts w:hint="default" w:cs="Times New Roman"/>
          <w:lang w:val="en-US" w:eastAsia="zh-CN"/>
        </w:rPr>
        <w:t>r</w:t>
      </w:r>
      <w:r>
        <w:rPr>
          <w:rFonts w:eastAsia="宋体"/>
          <w:lang w:val="en-US"/>
        </w:rPr>
        <w:t>eference NR devices</w:t>
      </w:r>
      <w:r>
        <w:rPr>
          <w:rFonts w:hint="default"/>
          <w:lang w:val="en-US"/>
        </w:rPr>
        <w:t xml:space="preserve"> configuration is reused, the cost breakdown for FR1 in Table 6.1-1 of TR38.875 is also reused, which is copied below in Table 2, and </w:t>
      </w:r>
      <w:r>
        <w:rPr>
          <w:rFonts w:hint="default" w:eastAsia="Calibri"/>
          <w:lang w:val="en-US" w:eastAsia="ja-JP"/>
        </w:rPr>
        <w:t>t</w:t>
      </w:r>
      <w:r>
        <w:rPr>
          <w:rFonts w:eastAsia="Calibri"/>
          <w:lang w:val="en-US" w:eastAsia="ja-JP"/>
        </w:rPr>
        <w:t xml:space="preserve">he RF-to-baseband cost ratio </w:t>
      </w:r>
      <w:r>
        <w:rPr>
          <w:rFonts w:hint="default" w:eastAsia="Calibri"/>
          <w:lang w:val="en-US" w:eastAsia="ja-JP"/>
        </w:rPr>
        <w:t>is also</w:t>
      </w:r>
      <w:r>
        <w:rPr>
          <w:rFonts w:eastAsia="Calibri"/>
          <w:lang w:val="en-US" w:eastAsia="ja-JP"/>
        </w:rPr>
        <w:t xml:space="preserve"> </w:t>
      </w:r>
      <w:r>
        <w:rPr>
          <w:rFonts w:hint="default" w:eastAsia="Calibri"/>
          <w:lang w:val="en-US" w:eastAsia="ja-JP"/>
        </w:rPr>
        <w:t>kept</w:t>
      </w:r>
      <w:r>
        <w:rPr>
          <w:rFonts w:eastAsia="Calibri"/>
          <w:lang w:val="en-US" w:eastAsia="ja-JP"/>
        </w:rPr>
        <w:t xml:space="preserve"> to be 40:60 for an FR1 UE</w:t>
      </w:r>
      <w:r>
        <w:rPr>
          <w:rFonts w:hint="default" w:eastAsia="Calibri"/>
          <w:lang w:val="en-US" w:eastAsia="ja-JP"/>
        </w:rPr>
        <w:t>.</w:t>
      </w:r>
    </w:p>
    <w:p>
      <w:pPr>
        <w:pStyle w:val="77"/>
        <w:rPr>
          <w:rFonts w:hint="default"/>
          <w:lang w:val="en-US"/>
        </w:rPr>
      </w:pPr>
      <w:r>
        <w:rPr>
          <w:rFonts w:hint="default"/>
          <w:lang w:val="en-US"/>
        </w:rPr>
        <w:t xml:space="preserve">Table 2 </w:t>
      </w:r>
      <w:r>
        <w:t>Detailed cost breakdown for the reference NR devices</w:t>
      </w:r>
      <w:r>
        <w:rPr>
          <w:rFonts w:hint="default"/>
          <w:lang w:val="en-US"/>
        </w:rPr>
        <w:t xml:space="preserve">(same as </w:t>
      </w:r>
      <w:r>
        <w:t>Table 6.1-1</w:t>
      </w:r>
      <w:r>
        <w:rPr>
          <w:rFonts w:hint="default"/>
          <w:lang w:val="en-US"/>
        </w:rPr>
        <w:t xml:space="preserve"> in TR38.875)</w:t>
      </w:r>
    </w:p>
    <w:tbl>
      <w:tblPr>
        <w:tblStyle w:val="49"/>
        <w:tblW w:w="67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2290"/>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AEAAAA"/>
          </w:tcPr>
          <w:p>
            <w:pPr>
              <w:spacing w:after="0" w:line="276" w:lineRule="auto"/>
              <w:rPr>
                <w:b/>
                <w:bCs/>
                <w:sz w:val="18"/>
                <w:lang w:eastAsia="ko-KR"/>
              </w:rPr>
            </w:pPr>
            <w:r>
              <w:rPr>
                <w:b/>
                <w:bCs/>
                <w:sz w:val="18"/>
                <w:lang w:eastAsia="ko-KR"/>
              </w:rPr>
              <w:t>Functional block</w:t>
            </w:r>
          </w:p>
        </w:tc>
        <w:tc>
          <w:tcPr>
            <w:tcW w:w="2290" w:type="dxa"/>
            <w:shd w:val="clear" w:color="auto" w:fill="AEAAAA"/>
          </w:tcPr>
          <w:p>
            <w:pPr>
              <w:spacing w:after="0" w:line="276" w:lineRule="auto"/>
              <w:rPr>
                <w:b/>
                <w:bCs/>
                <w:sz w:val="18"/>
                <w:lang w:eastAsia="ko-KR"/>
              </w:rPr>
            </w:pPr>
            <w:r>
              <w:rPr>
                <w:b/>
                <w:bCs/>
                <w:sz w:val="18"/>
                <w:lang w:eastAsia="ko-KR"/>
              </w:rPr>
              <w:t>FR1 FDD (2Rx)</w:t>
            </w:r>
          </w:p>
        </w:tc>
        <w:tc>
          <w:tcPr>
            <w:tcW w:w="2268" w:type="dxa"/>
            <w:shd w:val="clear" w:color="auto" w:fill="AEAAAA"/>
          </w:tcPr>
          <w:p>
            <w:pPr>
              <w:spacing w:after="0" w:line="276" w:lineRule="auto"/>
              <w:rPr>
                <w:b/>
                <w:bCs/>
                <w:sz w:val="18"/>
                <w:lang w:eastAsia="ko-KR"/>
              </w:rPr>
            </w:pPr>
            <w:r>
              <w:rPr>
                <w:b/>
                <w:bCs/>
                <w:sz w:val="18"/>
                <w:lang w:eastAsia="ko-KR"/>
              </w:rPr>
              <w:t>FR1 TDD (4Rx)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99" w:type="dxa"/>
            <w:gridSpan w:val="3"/>
            <w:shd w:val="clear" w:color="auto" w:fill="E7E6E6"/>
          </w:tcPr>
          <w:p>
            <w:pPr>
              <w:spacing w:after="0" w:line="276" w:lineRule="auto"/>
              <w:jc w:val="center"/>
              <w:rPr>
                <w:rFonts w:hint="default"/>
                <w:sz w:val="18"/>
                <w:lang w:val="en-US" w:eastAsia="ko-KR"/>
              </w:rPr>
            </w:pPr>
            <w:r>
              <w:rPr>
                <w:rFonts w:hint="default"/>
                <w:b/>
                <w:bCs/>
                <w:sz w:val="18"/>
                <w:lang w:val="en-US" w:eastAsia="ko-KR"/>
              </w:rPr>
              <w:t>RF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 xml:space="preserve">Power amplifier </w:t>
            </w:r>
          </w:p>
        </w:tc>
        <w:tc>
          <w:tcPr>
            <w:tcW w:w="2290" w:type="dxa"/>
            <w:shd w:val="clear" w:color="auto" w:fill="auto"/>
          </w:tcPr>
          <w:p>
            <w:pPr>
              <w:spacing w:after="0" w:line="276" w:lineRule="auto"/>
              <w:rPr>
                <w:sz w:val="18"/>
                <w:lang w:eastAsia="ko-KR"/>
              </w:rPr>
            </w:pPr>
            <w:r>
              <w:rPr>
                <w:sz w:val="18"/>
                <w:lang w:eastAsia="ko-KR"/>
              </w:rPr>
              <w:t>~25%</w:t>
            </w:r>
          </w:p>
        </w:tc>
        <w:tc>
          <w:tcPr>
            <w:tcW w:w="2268" w:type="dxa"/>
            <w:shd w:val="clear" w:color="auto" w:fill="auto"/>
          </w:tcPr>
          <w:p>
            <w:pPr>
              <w:spacing w:after="0" w:line="276" w:lineRule="auto"/>
              <w:rPr>
                <w:sz w:val="18"/>
                <w:lang w:eastAsia="ko-KR"/>
              </w:rPr>
            </w:pPr>
            <w:r>
              <w:rPr>
                <w:sz w:val="18"/>
                <w:lang w:eastAsia="ko-KR"/>
              </w:rPr>
              <w:t xml:space="preserve">~25%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Filters</w:t>
            </w:r>
          </w:p>
        </w:tc>
        <w:tc>
          <w:tcPr>
            <w:tcW w:w="2290" w:type="dxa"/>
            <w:shd w:val="clear" w:color="auto" w:fill="auto"/>
          </w:tcPr>
          <w:p>
            <w:pPr>
              <w:spacing w:after="0" w:line="276" w:lineRule="auto"/>
              <w:rPr>
                <w:sz w:val="18"/>
                <w:lang w:eastAsia="ko-KR"/>
              </w:rPr>
            </w:pPr>
            <w:r>
              <w:rPr>
                <w:sz w:val="18"/>
                <w:lang w:eastAsia="ko-KR"/>
              </w:rPr>
              <w:t>~10%</w:t>
            </w:r>
          </w:p>
        </w:tc>
        <w:tc>
          <w:tcPr>
            <w:tcW w:w="2268" w:type="dxa"/>
            <w:shd w:val="clear" w:color="auto" w:fill="auto"/>
          </w:tcPr>
          <w:p>
            <w:pPr>
              <w:spacing w:after="0" w:line="276" w:lineRule="auto"/>
              <w:rPr>
                <w:sz w:val="18"/>
                <w:lang w:eastAsia="ko-KR"/>
              </w:rPr>
            </w:pPr>
            <w:r>
              <w:rPr>
                <w:sz w:val="18"/>
                <w:lang w:eastAsia="ko-K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RF transceiver</w:t>
            </w:r>
            <w:r>
              <w:rPr>
                <w:sz w:val="18"/>
                <w:lang w:eastAsia="ko-KR"/>
              </w:rPr>
              <w:br w:type="textWrapping"/>
            </w:r>
            <w:r>
              <w:rPr>
                <w:sz w:val="18"/>
                <w:lang w:eastAsia="ko-KR"/>
              </w:rPr>
              <w:t>(including LNAs, mixer, and local oscillator)</w:t>
            </w:r>
          </w:p>
        </w:tc>
        <w:tc>
          <w:tcPr>
            <w:tcW w:w="2290" w:type="dxa"/>
            <w:shd w:val="clear" w:color="auto" w:fill="auto"/>
          </w:tcPr>
          <w:p>
            <w:pPr>
              <w:spacing w:after="0" w:line="276" w:lineRule="auto"/>
              <w:rPr>
                <w:sz w:val="18"/>
                <w:lang w:eastAsia="ko-KR"/>
              </w:rPr>
            </w:pPr>
            <w:r>
              <w:rPr>
                <w:sz w:val="18"/>
                <w:lang w:eastAsia="ko-KR"/>
              </w:rPr>
              <w:t xml:space="preserve">~45% </w:t>
            </w:r>
          </w:p>
        </w:tc>
        <w:tc>
          <w:tcPr>
            <w:tcW w:w="2268" w:type="dxa"/>
            <w:shd w:val="clear" w:color="auto" w:fill="auto"/>
          </w:tcPr>
          <w:p>
            <w:pPr>
              <w:spacing w:after="0" w:line="276" w:lineRule="auto"/>
              <w:rPr>
                <w:sz w:val="18"/>
                <w:lang w:eastAsia="ko-KR"/>
              </w:rPr>
            </w:pPr>
            <w:r>
              <w:rPr>
                <w:sz w:val="18"/>
                <w:lang w:eastAsia="ko-KR"/>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Duplexer / Switch</w:t>
            </w:r>
          </w:p>
        </w:tc>
        <w:tc>
          <w:tcPr>
            <w:tcW w:w="2290" w:type="dxa"/>
            <w:shd w:val="clear" w:color="auto" w:fill="auto"/>
          </w:tcPr>
          <w:p>
            <w:pPr>
              <w:spacing w:after="0" w:line="276" w:lineRule="auto"/>
              <w:rPr>
                <w:sz w:val="18"/>
                <w:lang w:eastAsia="ko-KR"/>
              </w:rPr>
            </w:pPr>
            <w:r>
              <w:rPr>
                <w:sz w:val="18"/>
                <w:lang w:eastAsia="ko-KR"/>
              </w:rPr>
              <w:t>~20%</w:t>
            </w:r>
          </w:p>
        </w:tc>
        <w:tc>
          <w:tcPr>
            <w:tcW w:w="2268" w:type="dxa"/>
            <w:shd w:val="clear" w:color="auto" w:fill="auto"/>
          </w:tcPr>
          <w:p>
            <w:pPr>
              <w:spacing w:after="0" w:line="276" w:lineRule="auto"/>
              <w:rPr>
                <w:sz w:val="18"/>
                <w:lang w:eastAsia="ko-KR"/>
              </w:rPr>
            </w:pPr>
            <w:r>
              <w:rPr>
                <w:sz w:val="18"/>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799" w:type="dxa"/>
            <w:gridSpan w:val="3"/>
            <w:shd w:val="clear" w:color="auto" w:fill="E7E6E6"/>
          </w:tcPr>
          <w:p>
            <w:pPr>
              <w:spacing w:after="0" w:line="276" w:lineRule="auto"/>
              <w:jc w:val="center"/>
              <w:rPr>
                <w:rFonts w:hint="default"/>
                <w:sz w:val="18"/>
                <w:lang w:val="en-US" w:eastAsia="ko-KR"/>
              </w:rPr>
            </w:pPr>
            <w:r>
              <w:rPr>
                <w:rFonts w:hint="default"/>
                <w:b/>
                <w:bCs/>
                <w:sz w:val="18"/>
                <w:lang w:val="en-US" w:eastAsia="ko-KR"/>
              </w:rPr>
              <w:t>Baseband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ADC / DAC</w:t>
            </w:r>
          </w:p>
        </w:tc>
        <w:tc>
          <w:tcPr>
            <w:tcW w:w="2290" w:type="dxa"/>
            <w:shd w:val="clear" w:color="auto" w:fill="auto"/>
          </w:tcPr>
          <w:p>
            <w:pPr>
              <w:spacing w:after="0" w:line="276" w:lineRule="auto"/>
              <w:rPr>
                <w:sz w:val="18"/>
                <w:lang w:eastAsia="ko-KR"/>
              </w:rPr>
            </w:pPr>
            <w:r>
              <w:rPr>
                <w:sz w:val="18"/>
                <w:lang w:eastAsia="ko-KR"/>
              </w:rPr>
              <w:t>~10%</w:t>
            </w:r>
          </w:p>
        </w:tc>
        <w:tc>
          <w:tcPr>
            <w:tcW w:w="2268" w:type="dxa"/>
            <w:shd w:val="clear" w:color="auto" w:fill="auto"/>
          </w:tcPr>
          <w:p>
            <w:pPr>
              <w:spacing w:after="0" w:line="276" w:lineRule="auto"/>
              <w:rPr>
                <w:sz w:val="18"/>
                <w:lang w:eastAsia="ko-KR"/>
              </w:rPr>
            </w:pPr>
            <w:r>
              <w:rPr>
                <w:sz w:val="18"/>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FFT/IFFT</w:t>
            </w:r>
          </w:p>
        </w:tc>
        <w:tc>
          <w:tcPr>
            <w:tcW w:w="2290" w:type="dxa"/>
            <w:shd w:val="clear" w:color="auto" w:fill="auto"/>
          </w:tcPr>
          <w:p>
            <w:pPr>
              <w:spacing w:after="0" w:line="276" w:lineRule="auto"/>
              <w:rPr>
                <w:sz w:val="18"/>
                <w:lang w:eastAsia="ko-KR"/>
              </w:rPr>
            </w:pPr>
            <w:r>
              <w:rPr>
                <w:sz w:val="18"/>
                <w:lang w:eastAsia="ko-KR"/>
              </w:rPr>
              <w:t>~4%</w:t>
            </w:r>
          </w:p>
        </w:tc>
        <w:tc>
          <w:tcPr>
            <w:tcW w:w="2268" w:type="dxa"/>
            <w:shd w:val="clear" w:color="auto" w:fill="auto"/>
          </w:tcPr>
          <w:p>
            <w:pPr>
              <w:spacing w:after="0" w:line="276" w:lineRule="auto"/>
              <w:rPr>
                <w:sz w:val="18"/>
                <w:lang w:eastAsia="ko-KR"/>
              </w:rPr>
            </w:pPr>
            <w:r>
              <w:rPr>
                <w:sz w:val="18"/>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Post-FFT data buffering</w:t>
            </w:r>
          </w:p>
        </w:tc>
        <w:tc>
          <w:tcPr>
            <w:tcW w:w="2290" w:type="dxa"/>
            <w:shd w:val="clear" w:color="auto" w:fill="auto"/>
          </w:tcPr>
          <w:p>
            <w:pPr>
              <w:spacing w:after="0" w:line="276" w:lineRule="auto"/>
              <w:rPr>
                <w:sz w:val="18"/>
                <w:lang w:eastAsia="ko-KR"/>
              </w:rPr>
            </w:pPr>
            <w:r>
              <w:rPr>
                <w:sz w:val="18"/>
                <w:lang w:eastAsia="ko-KR"/>
              </w:rPr>
              <w:t>~10%</w:t>
            </w:r>
          </w:p>
        </w:tc>
        <w:tc>
          <w:tcPr>
            <w:tcW w:w="2268" w:type="dxa"/>
            <w:shd w:val="clear" w:color="auto" w:fill="auto"/>
          </w:tcPr>
          <w:p>
            <w:pPr>
              <w:spacing w:after="0" w:line="276" w:lineRule="auto"/>
              <w:rPr>
                <w:sz w:val="18"/>
                <w:lang w:eastAsia="ko-KR"/>
              </w:rPr>
            </w:pPr>
            <w:r>
              <w:rPr>
                <w:sz w:val="18"/>
                <w:lang w:eastAsia="ko-KR"/>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Receiver processing block</w:t>
            </w:r>
          </w:p>
        </w:tc>
        <w:tc>
          <w:tcPr>
            <w:tcW w:w="2290" w:type="dxa"/>
            <w:shd w:val="clear" w:color="auto" w:fill="auto"/>
          </w:tcPr>
          <w:p>
            <w:pPr>
              <w:spacing w:after="0" w:line="276" w:lineRule="auto"/>
              <w:rPr>
                <w:sz w:val="18"/>
                <w:lang w:eastAsia="ko-KR"/>
              </w:rPr>
            </w:pPr>
            <w:r>
              <w:rPr>
                <w:sz w:val="18"/>
                <w:lang w:eastAsia="ko-KR"/>
              </w:rPr>
              <w:t>~24%</w:t>
            </w:r>
          </w:p>
        </w:tc>
        <w:tc>
          <w:tcPr>
            <w:tcW w:w="2268" w:type="dxa"/>
            <w:shd w:val="clear" w:color="auto" w:fill="auto"/>
          </w:tcPr>
          <w:p>
            <w:pPr>
              <w:spacing w:after="0" w:line="276" w:lineRule="auto"/>
              <w:rPr>
                <w:sz w:val="18"/>
                <w:lang w:eastAsia="ko-KR"/>
              </w:rPr>
            </w:pPr>
            <w:r>
              <w:rPr>
                <w:sz w:val="18"/>
                <w:lang w:eastAsia="ko-KR"/>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LDPC decoding</w:t>
            </w:r>
          </w:p>
        </w:tc>
        <w:tc>
          <w:tcPr>
            <w:tcW w:w="2290" w:type="dxa"/>
            <w:shd w:val="clear" w:color="auto" w:fill="auto"/>
          </w:tcPr>
          <w:p>
            <w:pPr>
              <w:spacing w:after="0" w:line="276" w:lineRule="auto"/>
              <w:rPr>
                <w:sz w:val="18"/>
                <w:lang w:eastAsia="ko-KR"/>
              </w:rPr>
            </w:pPr>
            <w:r>
              <w:rPr>
                <w:sz w:val="18"/>
                <w:lang w:eastAsia="ko-KR"/>
              </w:rPr>
              <w:t>~10%</w:t>
            </w:r>
          </w:p>
        </w:tc>
        <w:tc>
          <w:tcPr>
            <w:tcW w:w="2268" w:type="dxa"/>
            <w:shd w:val="clear" w:color="auto" w:fill="auto"/>
          </w:tcPr>
          <w:p>
            <w:pPr>
              <w:spacing w:after="0" w:line="276" w:lineRule="auto"/>
              <w:rPr>
                <w:sz w:val="18"/>
                <w:lang w:eastAsia="ko-KR"/>
              </w:rPr>
            </w:pPr>
            <w:r>
              <w:rPr>
                <w:sz w:val="18"/>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HARQ buffer</w:t>
            </w:r>
          </w:p>
        </w:tc>
        <w:tc>
          <w:tcPr>
            <w:tcW w:w="2290" w:type="dxa"/>
            <w:shd w:val="clear" w:color="auto" w:fill="auto"/>
          </w:tcPr>
          <w:p>
            <w:pPr>
              <w:spacing w:after="0" w:line="276" w:lineRule="auto"/>
              <w:rPr>
                <w:sz w:val="18"/>
                <w:lang w:eastAsia="ko-KR"/>
              </w:rPr>
            </w:pPr>
            <w:r>
              <w:rPr>
                <w:sz w:val="18"/>
                <w:lang w:eastAsia="ko-KR"/>
              </w:rPr>
              <w:t>~14%</w:t>
            </w:r>
          </w:p>
        </w:tc>
        <w:tc>
          <w:tcPr>
            <w:tcW w:w="2268" w:type="dxa"/>
            <w:shd w:val="clear" w:color="auto" w:fill="auto"/>
          </w:tcPr>
          <w:p>
            <w:pPr>
              <w:spacing w:after="0" w:line="276" w:lineRule="auto"/>
              <w:rPr>
                <w:sz w:val="18"/>
                <w:lang w:eastAsia="ko-KR"/>
              </w:rPr>
            </w:pPr>
            <w:r>
              <w:rPr>
                <w:sz w:val="18"/>
                <w:lang w:eastAsia="ko-KR"/>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DL control processing &amp; decoder</w:t>
            </w:r>
          </w:p>
        </w:tc>
        <w:tc>
          <w:tcPr>
            <w:tcW w:w="2290" w:type="dxa"/>
            <w:shd w:val="clear" w:color="auto" w:fill="auto"/>
          </w:tcPr>
          <w:p>
            <w:pPr>
              <w:spacing w:after="0" w:line="276" w:lineRule="auto"/>
              <w:rPr>
                <w:sz w:val="18"/>
                <w:lang w:eastAsia="ko-KR"/>
              </w:rPr>
            </w:pPr>
            <w:r>
              <w:rPr>
                <w:sz w:val="18"/>
                <w:lang w:eastAsia="ko-KR"/>
              </w:rPr>
              <w:t>~5%</w:t>
            </w:r>
          </w:p>
        </w:tc>
        <w:tc>
          <w:tcPr>
            <w:tcW w:w="2268" w:type="dxa"/>
            <w:shd w:val="clear" w:color="auto" w:fill="auto"/>
          </w:tcPr>
          <w:p>
            <w:pPr>
              <w:spacing w:after="0" w:line="276" w:lineRule="auto"/>
              <w:rPr>
                <w:sz w:val="18"/>
                <w:lang w:eastAsia="ko-KR"/>
              </w:rPr>
            </w:pPr>
            <w:r>
              <w:rPr>
                <w:sz w:val="18"/>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Synchronization / cell search block</w:t>
            </w:r>
          </w:p>
        </w:tc>
        <w:tc>
          <w:tcPr>
            <w:tcW w:w="2290" w:type="dxa"/>
            <w:shd w:val="clear" w:color="auto" w:fill="auto"/>
          </w:tcPr>
          <w:p>
            <w:pPr>
              <w:spacing w:after="0" w:line="276" w:lineRule="auto"/>
              <w:rPr>
                <w:sz w:val="18"/>
                <w:lang w:eastAsia="ko-KR"/>
              </w:rPr>
            </w:pPr>
            <w:r>
              <w:rPr>
                <w:sz w:val="18"/>
                <w:lang w:eastAsia="ko-KR"/>
              </w:rPr>
              <w:t>~9%</w:t>
            </w:r>
          </w:p>
        </w:tc>
        <w:tc>
          <w:tcPr>
            <w:tcW w:w="2268" w:type="dxa"/>
            <w:shd w:val="clear" w:color="auto" w:fill="auto"/>
          </w:tcPr>
          <w:p>
            <w:pPr>
              <w:spacing w:after="0" w:line="276" w:lineRule="auto"/>
              <w:rPr>
                <w:sz w:val="18"/>
                <w:lang w:eastAsia="ko-KR"/>
              </w:rPr>
            </w:pPr>
            <w:r>
              <w:rPr>
                <w:sz w:val="18"/>
                <w:lang w:eastAsia="ko-KR"/>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UL processing block</w:t>
            </w:r>
          </w:p>
        </w:tc>
        <w:tc>
          <w:tcPr>
            <w:tcW w:w="2290" w:type="dxa"/>
            <w:shd w:val="clear" w:color="auto" w:fill="auto"/>
          </w:tcPr>
          <w:p>
            <w:pPr>
              <w:spacing w:after="0" w:line="276" w:lineRule="auto"/>
              <w:rPr>
                <w:sz w:val="18"/>
                <w:lang w:eastAsia="ko-KR"/>
              </w:rPr>
            </w:pPr>
            <w:r>
              <w:rPr>
                <w:sz w:val="18"/>
                <w:lang w:eastAsia="ko-KR"/>
              </w:rPr>
              <w:t>~5%</w:t>
            </w:r>
          </w:p>
        </w:tc>
        <w:tc>
          <w:tcPr>
            <w:tcW w:w="2268" w:type="dxa"/>
            <w:shd w:val="clear" w:color="auto" w:fill="auto"/>
          </w:tcPr>
          <w:p>
            <w:pPr>
              <w:spacing w:after="0" w:line="276" w:lineRule="auto"/>
              <w:rPr>
                <w:sz w:val="18"/>
                <w:lang w:eastAsia="ko-KR"/>
              </w:rPr>
            </w:pPr>
            <w:r>
              <w:rPr>
                <w:sz w:val="18"/>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241" w:type="dxa"/>
            <w:shd w:val="clear" w:color="auto" w:fill="E7E6E6"/>
          </w:tcPr>
          <w:p>
            <w:pPr>
              <w:spacing w:after="0" w:line="276" w:lineRule="auto"/>
              <w:rPr>
                <w:sz w:val="18"/>
                <w:lang w:eastAsia="ko-KR"/>
              </w:rPr>
            </w:pPr>
            <w:r>
              <w:rPr>
                <w:sz w:val="18"/>
                <w:lang w:eastAsia="ko-KR"/>
              </w:rPr>
              <w:t>MIMO specific processing blocks</w:t>
            </w:r>
          </w:p>
        </w:tc>
        <w:tc>
          <w:tcPr>
            <w:tcW w:w="2290" w:type="dxa"/>
            <w:shd w:val="clear" w:color="auto" w:fill="auto"/>
          </w:tcPr>
          <w:p>
            <w:pPr>
              <w:spacing w:after="0" w:line="276" w:lineRule="auto"/>
              <w:rPr>
                <w:sz w:val="18"/>
                <w:lang w:eastAsia="ko-KR"/>
              </w:rPr>
            </w:pPr>
            <w:r>
              <w:rPr>
                <w:sz w:val="18"/>
                <w:lang w:eastAsia="ko-KR"/>
              </w:rPr>
              <w:t>~9%</w:t>
            </w:r>
          </w:p>
        </w:tc>
        <w:tc>
          <w:tcPr>
            <w:tcW w:w="2268" w:type="dxa"/>
            <w:shd w:val="clear" w:color="auto" w:fill="auto"/>
          </w:tcPr>
          <w:p>
            <w:pPr>
              <w:spacing w:after="0" w:line="276" w:lineRule="auto"/>
              <w:rPr>
                <w:sz w:val="18"/>
                <w:lang w:eastAsia="ko-KR"/>
              </w:rPr>
            </w:pPr>
            <w:r>
              <w:rPr>
                <w:sz w:val="18"/>
                <w:lang w:eastAsia="ko-KR"/>
              </w:rPr>
              <w:t>~9%</w:t>
            </w:r>
          </w:p>
        </w:tc>
      </w:tr>
    </w:tbl>
    <w:p>
      <w:pPr>
        <w:pStyle w:val="97"/>
        <w:ind w:left="0" w:leftChars="0" w:firstLine="0" w:firstLineChars="0"/>
        <w:jc w:val="left"/>
        <w:rPr>
          <w:rFonts w:hint="default"/>
          <w:lang w:val="en-US" w:eastAsia="zh-CN"/>
        </w:rPr>
      </w:pPr>
    </w:p>
    <w:p>
      <w:pPr>
        <w:numPr>
          <w:ilvl w:val="0"/>
          <w:numId w:val="9"/>
        </w:numPr>
        <w:ind w:left="420" w:leftChars="0" w:hanging="420" w:firstLineChars="0"/>
        <w:rPr>
          <w:rFonts w:hint="default" w:cs="Times New Roman"/>
          <w:lang w:val="en-US" w:eastAsia="zh-CN"/>
        </w:rPr>
      </w:pPr>
      <w:r>
        <w:rPr>
          <w:rFonts w:hint="default" w:cs="Times New Roman"/>
          <w:lang w:val="en-US" w:eastAsia="zh-CN"/>
        </w:rPr>
        <w:t xml:space="preserve">Alternative 2: take R17 RedCap device as reference. </w:t>
      </w:r>
    </w:p>
    <w:p>
      <w:pPr>
        <w:rPr>
          <w:rFonts w:hint="default" w:cs="Times New Roman"/>
          <w:lang w:val="en-US" w:eastAsia="zh-CN"/>
        </w:rPr>
      </w:pPr>
      <w:r>
        <w:rPr>
          <w:rFonts w:hint="default" w:cs="Times New Roman"/>
          <w:lang w:val="en-US" w:eastAsia="zh-CN"/>
        </w:rPr>
        <w:t xml:space="preserve">For this alternative, the baseline reference for cost reduction is based on R17 RedCap devices, the detail configuration for the reference R17 RedCap devices and R18 candidate solutions are the same as Table 1. </w:t>
      </w:r>
    </w:p>
    <w:p>
      <w:pPr>
        <w:rPr>
          <w:rFonts w:hint="default"/>
          <w:lang w:val="en-US"/>
        </w:rPr>
      </w:pPr>
      <w:r>
        <w:rPr>
          <w:rFonts w:hint="default" w:cs="Times New Roman"/>
          <w:lang w:val="en-US" w:eastAsia="zh-CN"/>
        </w:rPr>
        <w:t xml:space="preserve">However, the cost </w:t>
      </w:r>
      <w:r>
        <w:rPr>
          <w:rFonts w:hint="default"/>
          <w:lang w:val="en-US"/>
        </w:rPr>
        <w:t xml:space="preserve">breakdown should be updated. Take FDD as example, with combination of complexity reduction techniques 20MHz, 1Rx, 1layer, HD-FDD typeA, the ratio of each RF part and BB part has been changed compared to reference NR devices. Seen from </w:t>
      </w:r>
      <w:r>
        <w:t>Table 7.8.2-1</w:t>
      </w:r>
      <w:r>
        <w:rPr>
          <w:rFonts w:hint="default"/>
          <w:lang w:val="en-US"/>
        </w:rPr>
        <w:t xml:space="preserve"> of TR38.875(copied below), the RF cost metric and BB cost metric has been reduced to 53.2% and 25.6%, respectively. It can be concluded that the detail cost breakdown for both RF and BB will also be changed, although they are not captured in TR38.875 for combinations, and so will the </w:t>
      </w:r>
      <w:r>
        <w:rPr>
          <w:rFonts w:eastAsia="Calibri"/>
          <w:lang w:val="en-US" w:eastAsia="ja-JP"/>
        </w:rPr>
        <w:t>RF-to-baseband cost ratio</w:t>
      </w:r>
      <w:r>
        <w:rPr>
          <w:rFonts w:hint="default"/>
          <w:lang w:val="en-US"/>
        </w:rPr>
        <w:t>. To analyze the cost reduction of R18 RedCap solutions to R17 RedCap UE, the cost breakdown should be updated first, for example, the PA part may be no longer 25% of RF.</w:t>
      </w:r>
    </w:p>
    <w:p>
      <w:pPr>
        <w:pStyle w:val="77"/>
      </w:pPr>
      <w:r>
        <w:t>Table 7.8.2-1</w:t>
      </w:r>
      <w:r>
        <w:rPr>
          <w:rFonts w:hint="default"/>
          <w:lang w:val="en-US"/>
        </w:rPr>
        <w:t>(TR38.875)</w:t>
      </w:r>
      <w:r>
        <w:t>: Estimated relative device cost and estimated relative device cost reduction for UE complexity reduction technique(s) for FR1 FDD</w:t>
      </w:r>
    </w:p>
    <w:tbl>
      <w:tblPr>
        <w:tblStyle w:val="49"/>
        <w:tblW w:w="9329" w:type="dxa"/>
        <w:tblInd w:w="75" w:type="dxa"/>
        <w:tblLayout w:type="autofit"/>
        <w:tblCellMar>
          <w:top w:w="0" w:type="dxa"/>
          <w:left w:w="70" w:type="dxa"/>
          <w:bottom w:w="0" w:type="dxa"/>
          <w:right w:w="70" w:type="dxa"/>
        </w:tblCellMar>
      </w:tblPr>
      <w:tblGrid>
        <w:gridCol w:w="4720"/>
        <w:gridCol w:w="755"/>
        <w:gridCol w:w="754"/>
        <w:gridCol w:w="754"/>
        <w:gridCol w:w="783"/>
        <w:gridCol w:w="783"/>
        <w:gridCol w:w="783"/>
      </w:tblGrid>
      <w:tr>
        <w:tblPrEx>
          <w:tblCellMar>
            <w:top w:w="0" w:type="dxa"/>
            <w:left w:w="70" w:type="dxa"/>
            <w:bottom w:w="0" w:type="dxa"/>
            <w:right w:w="70" w:type="dxa"/>
          </w:tblCellMar>
        </w:tblPrEx>
        <w:trPr>
          <w:trHeight w:val="450" w:hRule="atLeast"/>
        </w:trPr>
        <w:tc>
          <w:tcPr>
            <w:tcW w:w="4720" w:type="dxa"/>
            <w:tcBorders>
              <w:top w:val="single" w:color="auto" w:sz="4" w:space="0"/>
              <w:left w:val="single" w:color="auto" w:sz="4" w:space="0"/>
              <w:bottom w:val="single" w:color="auto" w:sz="4" w:space="0"/>
              <w:right w:val="single" w:color="auto" w:sz="4" w:space="0"/>
            </w:tcBorders>
            <w:shd w:val="clear" w:color="auto" w:fill="D9D9D9"/>
            <w:vAlign w:val="center"/>
          </w:tcPr>
          <w:p>
            <w:pPr>
              <w:spacing w:after="0"/>
              <w:rPr>
                <w:rFonts w:ascii="Calibri" w:hAnsi="Calibri" w:cs="Calibri"/>
                <w:b/>
                <w:bCs/>
                <w:color w:val="000000"/>
                <w:sz w:val="16"/>
                <w:szCs w:val="16"/>
                <w:lang w:val="en-US" w:eastAsia="sv-SE"/>
              </w:rPr>
            </w:pPr>
            <w:r>
              <w:rPr>
                <w:rFonts w:ascii="Calibri" w:hAnsi="Calibri" w:cs="Calibri"/>
                <w:b/>
                <w:bCs/>
                <w:color w:val="000000"/>
                <w:sz w:val="16"/>
                <w:szCs w:val="16"/>
                <w:lang w:val="en-US" w:eastAsia="sv-SE"/>
              </w:rPr>
              <w:t>FR1 FDD UE complexity reduction technique(s)</w:t>
            </w:r>
          </w:p>
        </w:tc>
        <w:tc>
          <w:tcPr>
            <w:tcW w:w="755"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cost metric</w:t>
            </w:r>
          </w:p>
        </w:tc>
        <w:tc>
          <w:tcPr>
            <w:tcW w:w="754"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cost metric</w:t>
            </w:r>
          </w:p>
        </w:tc>
        <w:tc>
          <w:tcPr>
            <w:tcW w:w="754"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cost metric</w:t>
            </w:r>
          </w:p>
        </w:tc>
        <w:tc>
          <w:tcPr>
            <w:tcW w:w="782"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RF reduction</w:t>
            </w:r>
          </w:p>
        </w:tc>
        <w:tc>
          <w:tcPr>
            <w:tcW w:w="782"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BB reduction</w:t>
            </w:r>
          </w:p>
        </w:tc>
        <w:tc>
          <w:tcPr>
            <w:tcW w:w="782" w:type="dxa"/>
            <w:tcBorders>
              <w:top w:val="single" w:color="auto" w:sz="4" w:space="0"/>
              <w:left w:val="nil"/>
              <w:bottom w:val="single" w:color="auto" w:sz="4" w:space="0"/>
              <w:right w:val="single" w:color="auto" w:sz="4" w:space="0"/>
            </w:tcBorders>
            <w:shd w:val="clear" w:color="auto" w:fill="D9D9D9"/>
            <w:vAlign w:val="center"/>
          </w:tcPr>
          <w:p>
            <w:pPr>
              <w:spacing w:after="0"/>
              <w:jc w:val="center"/>
              <w:rPr>
                <w:rFonts w:ascii="Calibri" w:hAnsi="Calibri" w:cs="Calibri"/>
                <w:b/>
                <w:bCs/>
                <w:sz w:val="16"/>
                <w:szCs w:val="16"/>
                <w:lang w:val="sv-SE" w:eastAsia="sv-SE"/>
              </w:rPr>
            </w:pPr>
            <w:r>
              <w:rPr>
                <w:rFonts w:ascii="Calibri" w:hAnsi="Calibri" w:cs="Calibri"/>
                <w:b/>
                <w:bCs/>
                <w:sz w:val="16"/>
                <w:szCs w:val="16"/>
                <w:lang w:val="sv-SE" w:eastAsia="sv-SE"/>
              </w:rPr>
              <w:t>Total reduction</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(instead of 100 MHz)</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97.7%</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48.4%</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68.1%</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2.3%</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51.6%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31.9%</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1 layer (instead of 2 layers)</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79.3%</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87.6%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20.7%</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12.4%</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1 layer, 1 Rx (instead of 2 layers, 2 Rx)</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55.9%</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63.2%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44.1%</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36.8%</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HD-FDD type A (instead of FD-FDD)</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83.9%</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99.4%</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93.2%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16.1%</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6.8%</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HD-FDD type B (instead of FD-FDD)</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77.3%</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99.2%</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90.4%</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22.7%</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9.6%</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Double N</w:t>
            </w:r>
            <w:r>
              <w:rPr>
                <w:rFonts w:ascii="Calibri" w:hAnsi="Calibri" w:cs="Calibri"/>
                <w:color w:val="000000"/>
                <w:sz w:val="16"/>
                <w:szCs w:val="16"/>
                <w:vertAlign w:val="subscript"/>
                <w:lang w:val="sv-SE" w:eastAsia="sv-SE"/>
              </w:rPr>
              <w:t>1</w:t>
            </w:r>
            <w:r>
              <w:rPr>
                <w:rFonts w:ascii="Calibri" w:hAnsi="Calibri" w:cs="Calibri"/>
                <w:color w:val="000000"/>
                <w:sz w:val="16"/>
                <w:szCs w:val="16"/>
                <w:lang w:val="sv-SE" w:eastAsia="sv-SE"/>
              </w:rPr>
              <w:t xml:space="preserve"> and N</w:t>
            </w:r>
            <w:r>
              <w:rPr>
                <w:rFonts w:ascii="Calibri" w:hAnsi="Calibri" w:cs="Calibri"/>
                <w:color w:val="000000"/>
                <w:sz w:val="16"/>
                <w:szCs w:val="16"/>
                <w:vertAlign w:val="subscript"/>
                <w:lang w:val="sv-SE" w:eastAsia="sv-SE"/>
              </w:rPr>
              <w:t>2</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100.0%</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90.5%</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94.3%</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0.0%</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9.5%</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DL 64QAM (instead of DL 256QAM)</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91.8%</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94.2%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5.8%</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UL 16QAM (instead of UL 64QAM)</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97.1%</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98.3%</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2.9%</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1.7%</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sv-SE" w:eastAsia="sv-SE"/>
              </w:rPr>
            </w:pPr>
            <w:r>
              <w:rPr>
                <w:rFonts w:ascii="Calibri" w:hAnsi="Calibri" w:cs="Calibri"/>
                <w:color w:val="000000"/>
                <w:sz w:val="16"/>
                <w:szCs w:val="16"/>
                <w:lang w:val="sv-SE" w:eastAsia="sv-SE"/>
              </w:rPr>
              <w:t>20 MHz, 1 layer, 1 Rx</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25.8%</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42.5%</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74.2%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57.5%</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highlight w:val="yellow"/>
                <w:lang w:val="en-US" w:eastAsia="sv-SE"/>
              </w:rPr>
            </w:pPr>
            <w:r>
              <w:rPr>
                <w:rFonts w:ascii="Calibri" w:hAnsi="Calibri" w:cs="Calibri"/>
                <w:color w:val="000000"/>
                <w:sz w:val="16"/>
                <w:szCs w:val="16"/>
                <w:highlight w:val="yellow"/>
                <w:lang w:val="en-US" w:eastAsia="sv-SE"/>
              </w:rPr>
              <w:t>20 MHz, 1 layer, 1 Rx, HD-FDD type A</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53.2%</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25.6%</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36.6%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46.8%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74.4%</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highlight w:val="yellow"/>
                <w:lang w:val="sv-SE" w:eastAsia="sv-SE"/>
              </w:rPr>
            </w:pPr>
            <w:r>
              <w:rPr>
                <w:rFonts w:ascii="Calibri" w:hAnsi="Calibri" w:cs="Calibri"/>
                <w:color w:val="000000"/>
                <w:sz w:val="16"/>
                <w:szCs w:val="16"/>
                <w:highlight w:val="yellow"/>
                <w:lang w:val="sv-SE" w:eastAsia="sv-SE"/>
              </w:rPr>
              <w:t>63.4%</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1 layer, 1 Rx, DL 64QAM, UL 16QAM</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64.2%</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24.3%</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40.2%</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75.7%</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59.8%</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1 layer, 1 Rx, double N</w:t>
            </w:r>
            <w:r>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N</w:t>
            </w:r>
            <w:r>
              <w:rPr>
                <w:rFonts w:ascii="Calibri" w:hAnsi="Calibri" w:cs="Calibri"/>
                <w:color w:val="000000"/>
                <w:sz w:val="16"/>
                <w:szCs w:val="16"/>
                <w:vertAlign w:val="subscript"/>
                <w:lang w:val="en-US" w:eastAsia="sv-SE"/>
              </w:rPr>
              <w:t>2</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67.5%</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22.9%</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40.7%</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32.5%</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77.1%</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59.3%</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1 layer, 1 Rx, DL 64QAM, UL 16QAM, double N</w:t>
            </w:r>
            <w:r>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N</w:t>
            </w:r>
            <w:r>
              <w:rPr>
                <w:rFonts w:ascii="Calibri" w:hAnsi="Calibri" w:cs="Calibri"/>
                <w:color w:val="000000"/>
                <w:sz w:val="16"/>
                <w:szCs w:val="16"/>
                <w:vertAlign w:val="subscript"/>
                <w:lang w:val="en-US" w:eastAsia="sv-SE"/>
              </w:rPr>
              <w:t>2</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21.7%</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38.9%</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78.3%</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61.1%</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1 layer, 1 Rx, DL 64QAM, UL 16QAM, HD-FDD type A, double N</w:t>
            </w:r>
            <w:r>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N</w:t>
            </w:r>
            <w:r>
              <w:rPr>
                <w:rFonts w:ascii="Calibri" w:hAnsi="Calibri" w:cs="Calibri"/>
                <w:color w:val="000000"/>
                <w:sz w:val="16"/>
                <w:szCs w:val="16"/>
                <w:vertAlign w:val="subscript"/>
                <w:lang w:val="en-US" w:eastAsia="sv-SE"/>
              </w:rPr>
              <w:t>2</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50.2%</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21.4%</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32.9%</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49.8%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78.6%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67.1%</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2 layers, 2 Rx, HD-FDD type A</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81.3%</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46.0%</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60.1%</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18.8%</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54.0%</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39.9%</w:t>
            </w:r>
          </w:p>
        </w:tc>
      </w:tr>
      <w:tr>
        <w:tblPrEx>
          <w:tblCellMar>
            <w:top w:w="0" w:type="dxa"/>
            <w:left w:w="70" w:type="dxa"/>
            <w:bottom w:w="0" w:type="dxa"/>
            <w:right w:w="70" w:type="dxa"/>
          </w:tblCellMar>
        </w:tblPrEx>
        <w:trPr>
          <w:trHeight w:val="225" w:hRule="atLeast"/>
        </w:trPr>
        <w:tc>
          <w:tcPr>
            <w:tcW w:w="4720" w:type="dxa"/>
            <w:tcBorders>
              <w:top w:val="nil"/>
              <w:left w:val="single" w:color="auto" w:sz="4" w:space="0"/>
              <w:bottom w:val="single" w:color="auto" w:sz="4" w:space="0"/>
              <w:right w:val="single" w:color="auto" w:sz="4" w:space="0"/>
            </w:tcBorders>
            <w:noWrap/>
            <w:vAlign w:val="bottom"/>
          </w:tcPr>
          <w:p>
            <w:pPr>
              <w:spacing w:after="0"/>
              <w:rPr>
                <w:rFonts w:ascii="Calibri" w:hAnsi="Calibri" w:cs="Calibri"/>
                <w:color w:val="000000"/>
                <w:sz w:val="16"/>
                <w:szCs w:val="16"/>
                <w:lang w:val="en-US" w:eastAsia="sv-SE"/>
              </w:rPr>
            </w:pPr>
            <w:r>
              <w:rPr>
                <w:rFonts w:ascii="Calibri" w:hAnsi="Calibri" w:cs="Calibri"/>
                <w:color w:val="000000"/>
                <w:sz w:val="16"/>
                <w:szCs w:val="16"/>
                <w:lang w:val="en-US" w:eastAsia="sv-SE"/>
              </w:rPr>
              <w:t>20 MHz, 2 layers, 2 Rx, double N</w:t>
            </w:r>
            <w:r>
              <w:rPr>
                <w:rFonts w:ascii="Calibri" w:hAnsi="Calibri" w:cs="Calibri"/>
                <w:color w:val="000000"/>
                <w:sz w:val="16"/>
                <w:szCs w:val="16"/>
                <w:vertAlign w:val="subscript"/>
                <w:lang w:val="en-US" w:eastAsia="sv-SE"/>
              </w:rPr>
              <w:t>1</w:t>
            </w:r>
            <w:r>
              <w:rPr>
                <w:rFonts w:ascii="Calibri" w:hAnsi="Calibri" w:cs="Calibri"/>
                <w:color w:val="000000"/>
                <w:sz w:val="16"/>
                <w:szCs w:val="16"/>
                <w:lang w:val="en-US" w:eastAsia="sv-SE"/>
              </w:rPr>
              <w:t xml:space="preserve"> and N</w:t>
            </w:r>
            <w:r>
              <w:rPr>
                <w:rFonts w:ascii="Calibri" w:hAnsi="Calibri" w:cs="Calibri"/>
                <w:color w:val="000000"/>
                <w:sz w:val="16"/>
                <w:szCs w:val="16"/>
                <w:vertAlign w:val="subscript"/>
                <w:lang w:val="en-US" w:eastAsia="sv-SE"/>
              </w:rPr>
              <w:t>2</w:t>
            </w:r>
          </w:p>
        </w:tc>
        <w:tc>
          <w:tcPr>
            <w:tcW w:w="755"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97.6%</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42.6%</w:t>
            </w:r>
          </w:p>
        </w:tc>
        <w:tc>
          <w:tcPr>
            <w:tcW w:w="754"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64.6%</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2.4%</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57.4%</w:t>
            </w:r>
          </w:p>
        </w:tc>
        <w:tc>
          <w:tcPr>
            <w:tcW w:w="782" w:type="dxa"/>
            <w:tcBorders>
              <w:top w:val="nil"/>
              <w:left w:val="nil"/>
              <w:bottom w:val="single" w:color="auto" w:sz="4" w:space="0"/>
              <w:right w:val="single" w:color="auto" w:sz="4" w:space="0"/>
            </w:tcBorders>
            <w:noWrap/>
            <w:vAlign w:val="bottom"/>
          </w:tcPr>
          <w:p>
            <w:pPr>
              <w:spacing w:after="0"/>
              <w:jc w:val="center"/>
              <w:rPr>
                <w:rFonts w:ascii="Calibri" w:hAnsi="Calibri" w:cs="Calibri"/>
                <w:color w:val="000000"/>
                <w:sz w:val="16"/>
                <w:szCs w:val="16"/>
                <w:lang w:val="sv-SE" w:eastAsia="sv-SE"/>
              </w:rPr>
            </w:pPr>
            <w:r>
              <w:rPr>
                <w:rFonts w:ascii="Calibri" w:hAnsi="Calibri" w:cs="Calibri"/>
                <w:color w:val="000000"/>
                <w:sz w:val="16"/>
                <w:szCs w:val="16"/>
                <w:lang w:val="sv-SE" w:eastAsia="sv-SE"/>
              </w:rPr>
              <w:t>35.4%</w:t>
            </w:r>
          </w:p>
        </w:tc>
      </w:tr>
    </w:tbl>
    <w:p>
      <w:pPr>
        <w:rPr>
          <w:rFonts w:hint="default"/>
          <w:lang w:val="en-US"/>
        </w:rPr>
      </w:pPr>
    </w:p>
    <w:p>
      <w:pPr>
        <w:rPr>
          <w:rFonts w:hint="default"/>
          <w:lang w:val="en-US"/>
        </w:rPr>
      </w:pPr>
      <w:r>
        <w:rPr>
          <w:rFonts w:hint="default"/>
          <w:lang w:val="en-US"/>
        </w:rPr>
        <w:t xml:space="preserve">Both alternatives can be used for evaluation, and down selection is better to be made during RAN1#109e. </w:t>
      </w:r>
    </w:p>
    <w:p>
      <w:pPr>
        <w:rPr>
          <w:rFonts w:hint="default"/>
          <w:b/>
          <w:bCs/>
          <w:lang w:val="en-US"/>
        </w:rPr>
      </w:pPr>
      <w:r>
        <w:rPr>
          <w:rFonts w:hint="default"/>
          <w:b/>
          <w:bCs/>
          <w:lang w:val="en-US"/>
        </w:rPr>
        <w:t>Proposal 1: Make down selection from the two alternatives for R18 cost reduction evaluation,</w:t>
      </w: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Alternative 1: reuse the same reference NR device as R17 RedCap UE.</w:t>
      </w: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 xml:space="preserve">Alternative 2: take R17 RedCap device as reference. </w:t>
      </w:r>
    </w:p>
    <w:p>
      <w:pPr>
        <w:rPr>
          <w:rFonts w:hint="default"/>
          <w:b/>
          <w:bCs/>
          <w:lang w:val="en-US"/>
        </w:rPr>
      </w:pPr>
      <w:r>
        <w:rPr>
          <w:rFonts w:hint="default"/>
          <w:b/>
          <w:bCs/>
          <w:lang w:val="en-US"/>
        </w:rPr>
        <w:t xml:space="preserve">Proposal 2: If </w:t>
      </w:r>
      <w:r>
        <w:rPr>
          <w:rFonts w:hint="default" w:cs="Times New Roman"/>
          <w:b/>
          <w:bCs/>
          <w:lang w:val="en-US" w:eastAsia="zh-CN"/>
        </w:rPr>
        <w:t>R17 RedCap device is taken as reference, the detail cost breakdown for RF and baseband needs update.</w:t>
      </w:r>
    </w:p>
    <w:p>
      <w:pPr>
        <w:rPr>
          <w:rFonts w:hint="default" w:cs="Times New Roman"/>
          <w:lang w:val="en-US" w:eastAsia="zh-CN"/>
        </w:rPr>
      </w:pPr>
      <w:r>
        <w:rPr>
          <w:rFonts w:hint="default"/>
          <w:b/>
          <w:bCs/>
          <w:lang w:val="en-US"/>
        </w:rPr>
        <w:t xml:space="preserve">Proposal 3: R17 RedCap with low end configuration such as 1Rx/1ayer, HD-FDD for FDD is taken as comparison baseline.  </w:t>
      </w:r>
      <w:bookmarkStart w:id="5" w:name="_GoBack"/>
      <w:bookmarkEnd w:id="5"/>
    </w:p>
    <w:p>
      <w:pPr>
        <w:pStyle w:val="2"/>
        <w:numPr>
          <w:ilvl w:val="0"/>
          <w:numId w:val="6"/>
        </w:numPr>
        <w:jc w:val="both"/>
        <w:rPr>
          <w:rFonts w:ascii="Times New Roman" w:hAnsi="Times New Roman" w:eastAsiaTheme="minorEastAsia"/>
          <w:lang w:eastAsia="zh-CN"/>
        </w:rPr>
      </w:pPr>
      <w:r>
        <w:rPr>
          <w:rFonts w:ascii="Times New Roman" w:hAnsi="Times New Roman" w:eastAsiaTheme="minorEastAsia"/>
          <w:lang w:eastAsia="zh-CN"/>
        </w:rPr>
        <w:t>Conclusions</w:t>
      </w:r>
    </w:p>
    <w:p>
      <w:pPr>
        <w:jc w:val="both"/>
        <w:rPr>
          <w:lang w:eastAsia="zh-CN"/>
        </w:rPr>
      </w:pPr>
      <w:r>
        <w:t xml:space="preserve">In this contribution, </w:t>
      </w:r>
      <w:r>
        <w:rPr>
          <w:rFonts w:hint="eastAsia"/>
          <w:lang w:val="en-US" w:eastAsia="zh-CN"/>
        </w:rPr>
        <w:t xml:space="preserve">considerations on </w:t>
      </w:r>
      <w:r>
        <w:rPr>
          <w:rFonts w:hint="default"/>
          <w:bCs/>
          <w:lang w:val="en-US" w:eastAsia="zh-CN"/>
        </w:rPr>
        <w:t xml:space="preserve">reference configuration for complexity reduction evaluation of R18 RedCap </w:t>
      </w:r>
      <w:r>
        <w:rPr>
          <w:rFonts w:hint="eastAsia"/>
          <w:bCs/>
          <w:lang w:val="en-US" w:eastAsia="zh-CN"/>
        </w:rPr>
        <w:t xml:space="preserve">are discussed, the following </w:t>
      </w:r>
      <w:r>
        <w:rPr>
          <w:rFonts w:hint="default"/>
          <w:bCs/>
          <w:lang w:val="en-US" w:eastAsia="zh-CN"/>
        </w:rPr>
        <w:t xml:space="preserve">observation and </w:t>
      </w:r>
      <w:r>
        <w:rPr>
          <w:rFonts w:hint="eastAsia"/>
          <w:bCs/>
          <w:lang w:val="en-US" w:eastAsia="zh-CN"/>
        </w:rPr>
        <w:t>proposals are made</w:t>
      </w:r>
      <w:r>
        <w:rPr>
          <w:lang w:eastAsia="zh-CN"/>
        </w:rPr>
        <w:t>,</w:t>
      </w:r>
    </w:p>
    <w:p>
      <w:pPr>
        <w:rPr>
          <w:rFonts w:hint="eastAsia"/>
          <w:b/>
          <w:bCs/>
          <w:i w:val="0"/>
          <w:iCs w:val="0"/>
          <w:lang w:val="en-US" w:eastAsia="zh-CN"/>
        </w:rPr>
      </w:pPr>
      <w:r>
        <w:rPr>
          <w:rFonts w:hint="default"/>
          <w:b/>
          <w:bCs/>
          <w:lang w:val="en-US" w:eastAsia="zh-CN"/>
        </w:rPr>
        <w:t xml:space="preserve">Observation: Whether both </w:t>
      </w:r>
      <w:r>
        <w:rPr>
          <w:b/>
          <w:bCs/>
          <w:lang w:eastAsia="ja-JP"/>
        </w:rPr>
        <w:t>UE bandwidth reduction to 5MHz</w:t>
      </w:r>
      <w:r>
        <w:rPr>
          <w:rFonts w:hint="default"/>
          <w:b/>
          <w:bCs/>
          <w:lang w:val="en-US" w:eastAsia="ja-JP"/>
        </w:rPr>
        <w:t xml:space="preserve"> and </w:t>
      </w:r>
      <w:r>
        <w:rPr>
          <w:b/>
          <w:bCs/>
          <w:lang w:eastAsia="ja-JP"/>
        </w:rPr>
        <w:t>reduced UE peak data rate</w:t>
      </w:r>
      <w:r>
        <w:rPr>
          <w:rFonts w:hint="default"/>
          <w:b/>
          <w:bCs/>
          <w:lang w:val="en-US" w:eastAsia="zh-CN"/>
        </w:rPr>
        <w:t xml:space="preserve"> can be selected or only one is down selected depends on not only the cost reduction, but also the performance impacts and specification effort to enable standalone deployment or coexistence with non-RedCap or R17 RedCap UEs.</w:t>
      </w:r>
    </w:p>
    <w:p>
      <w:pPr>
        <w:rPr>
          <w:rFonts w:hint="default"/>
          <w:b/>
          <w:bCs/>
          <w:lang w:val="en-US"/>
        </w:rPr>
      </w:pPr>
      <w:r>
        <w:rPr>
          <w:rFonts w:hint="default"/>
          <w:b/>
          <w:bCs/>
          <w:lang w:val="en-US"/>
        </w:rPr>
        <w:t>Proposal 1: Make down selection from the two alternatives for R18 cost reduction evaluation,</w:t>
      </w: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Alternative 1: reuse the same reference NR device as R17 RedCap UE.</w:t>
      </w:r>
    </w:p>
    <w:p>
      <w:pPr>
        <w:numPr>
          <w:ilvl w:val="0"/>
          <w:numId w:val="9"/>
        </w:numPr>
        <w:ind w:left="420" w:leftChars="0" w:hanging="420" w:firstLineChars="0"/>
        <w:rPr>
          <w:rFonts w:hint="default" w:cs="Times New Roman"/>
          <w:b/>
          <w:bCs/>
          <w:lang w:val="en-US" w:eastAsia="zh-CN"/>
        </w:rPr>
      </w:pPr>
      <w:r>
        <w:rPr>
          <w:rFonts w:hint="default" w:cs="Times New Roman"/>
          <w:b/>
          <w:bCs/>
          <w:lang w:val="en-US" w:eastAsia="zh-CN"/>
        </w:rPr>
        <w:t xml:space="preserve">Alternative 2: take R17 RedCap device as reference. </w:t>
      </w:r>
    </w:p>
    <w:p>
      <w:pPr>
        <w:rPr>
          <w:rFonts w:hint="default"/>
          <w:b/>
          <w:bCs/>
          <w:lang w:val="en-US"/>
        </w:rPr>
      </w:pPr>
      <w:r>
        <w:rPr>
          <w:rFonts w:hint="default"/>
          <w:b/>
          <w:bCs/>
          <w:lang w:val="en-US"/>
        </w:rPr>
        <w:t xml:space="preserve">Proposal 2: If </w:t>
      </w:r>
      <w:r>
        <w:rPr>
          <w:rFonts w:hint="default" w:cs="Times New Roman"/>
          <w:b/>
          <w:bCs/>
          <w:lang w:val="en-US" w:eastAsia="zh-CN"/>
        </w:rPr>
        <w:t>R17 RedCap device is taken as reference, the detail cost breakdown for RF and baseband needs update.</w:t>
      </w:r>
    </w:p>
    <w:p>
      <w:pPr>
        <w:rPr>
          <w:rFonts w:hint="default" w:cs="Times New Roman"/>
          <w:lang w:val="en-US" w:eastAsia="zh-CN"/>
        </w:rPr>
      </w:pPr>
      <w:r>
        <w:rPr>
          <w:rFonts w:hint="default"/>
          <w:b/>
          <w:bCs/>
          <w:lang w:val="en-US"/>
        </w:rPr>
        <w:t xml:space="preserve">Proposal 3: R17 RedCap with low end configuration such as 1Rx/1ayer, HD-FDD for FDD is taken as comparison baseline.  </w:t>
      </w:r>
    </w:p>
    <w:p>
      <w:pPr>
        <w:pStyle w:val="2"/>
        <w:numPr>
          <w:ilvl w:val="0"/>
          <w:numId w:val="6"/>
        </w:numPr>
        <w:rPr>
          <w:rFonts w:ascii="Times New Roman" w:hAnsi="Times New Roman" w:eastAsiaTheme="minorEastAsia"/>
          <w:lang w:eastAsia="zh-CN"/>
        </w:rPr>
      </w:pPr>
      <w:r>
        <w:rPr>
          <w:rFonts w:ascii="Times New Roman" w:hAnsi="Times New Roman" w:eastAsiaTheme="minorEastAsia"/>
          <w:lang w:eastAsia="zh-CN"/>
        </w:rPr>
        <w:t>References</w:t>
      </w:r>
    </w:p>
    <w:p>
      <w:pPr>
        <w:numPr>
          <w:ilvl w:val="0"/>
          <w:numId w:val="10"/>
        </w:numPr>
        <w:outlineLvl w:val="0"/>
        <w:rPr>
          <w:rFonts w:hint="eastAsia"/>
          <w:lang w:val="en-US" w:eastAsia="zh-CN"/>
        </w:rPr>
      </w:pPr>
      <w:r>
        <w:rPr>
          <w:rFonts w:hint="eastAsia"/>
          <w:lang w:val="en-US"/>
        </w:rPr>
        <w:t>RP-213661</w:t>
      </w:r>
      <w:r>
        <w:rPr>
          <w:rFonts w:hint="eastAsia"/>
          <w:lang w:val="en-US" w:eastAsia="zh-CN"/>
        </w:rPr>
        <w:t>, New SID on Study on further NR RedCap UE complexity reduction.</w:t>
      </w:r>
    </w:p>
    <w:p>
      <w:pPr>
        <w:numPr>
          <w:ilvl w:val="0"/>
          <w:numId w:val="10"/>
        </w:numPr>
        <w:outlineLvl w:val="0"/>
        <w:rPr>
          <w:rFonts w:hint="eastAsia"/>
          <w:lang w:val="en-US" w:eastAsia="zh-CN"/>
        </w:rPr>
      </w:pPr>
      <w:r>
        <w:rPr>
          <w:rFonts w:hint="eastAsia"/>
          <w:lang w:val="en-US" w:eastAsia="zh-CN"/>
        </w:rPr>
        <w:t>R1-2204315</w:t>
      </w:r>
      <w:r>
        <w:rPr>
          <w:rFonts w:hint="default"/>
          <w:lang w:val="en-US" w:eastAsia="zh-CN"/>
        </w:rPr>
        <w:t xml:space="preserve">, </w:t>
      </w:r>
      <w:r>
        <w:rPr>
          <w:rFonts w:hint="eastAsia"/>
          <w:lang w:val="en-US" w:eastAsia="zh-CN"/>
        </w:rPr>
        <w:t>Discussion on further reduced UE complexity</w:t>
      </w:r>
      <w:r>
        <w:rPr>
          <w:rFonts w:hint="default"/>
          <w:lang w:val="en-US" w:eastAsia="zh-CN"/>
        </w:rPr>
        <w:t>, CMCC.</w:t>
      </w: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rPr>
          <w:rFonts w:ascii="Times New Roman" w:hAnsi="Times New Roman" w:eastAsia="宋体" w:cs="Times New Roman"/>
          <w:lang w:val="zh-CN" w:eastAsia="zh-CN" w:bidi="ar-SA"/>
        </w:rPr>
      </w:pPr>
    </w:p>
    <w:p>
      <w:pPr>
        <w:bidi w:val="0"/>
        <w:jc w:val="left"/>
        <w:rPr>
          <w:lang w:val="zh-CN" w:eastAsia="zh-CN"/>
        </w:rPr>
      </w:pPr>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859E8"/>
    <w:multiLevelType w:val="multilevel"/>
    <w:tmpl w:val="9AD859E8"/>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6" w:hanging="576"/>
      </w:pPr>
      <w:rPr>
        <w:rFonts w:hint="default" w:ascii="Calibri" w:hAnsi="Calibri" w:eastAsia="宋体" w:cs="Times New Roman"/>
        <w:sz w:val="28"/>
        <w:szCs w:val="28"/>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D20595AF"/>
    <w:multiLevelType w:val="singleLevel"/>
    <w:tmpl w:val="D20595AF"/>
    <w:lvl w:ilvl="0" w:tentative="0">
      <w:start w:val="1"/>
      <w:numFmt w:val="bullet"/>
      <w:lvlText w:val=""/>
      <w:lvlJc w:val="left"/>
      <w:pPr>
        <w:ind w:left="420" w:hanging="420"/>
      </w:pPr>
      <w:rPr>
        <w:rFonts w:hint="default" w:ascii="Wingdings" w:hAnsi="Wingdings"/>
      </w:rPr>
    </w:lvl>
  </w:abstractNum>
  <w:abstractNum w:abstractNumId="2">
    <w:nsid w:val="FFFFFF7E"/>
    <w:multiLevelType w:val="singleLevel"/>
    <w:tmpl w:val="FFFFFF7E"/>
    <w:lvl w:ilvl="0" w:tentative="0">
      <w:start w:val="1"/>
      <w:numFmt w:val="decimal"/>
      <w:pStyle w:val="33"/>
      <w:lvlText w:val="%1."/>
      <w:lvlJc w:val="left"/>
      <w:pPr>
        <w:tabs>
          <w:tab w:val="left" w:pos="8571"/>
        </w:tabs>
        <w:ind w:left="8571" w:leftChars="400" w:hanging="360" w:hangingChars="200"/>
      </w:pPr>
    </w:lvl>
  </w:abstractNum>
  <w:abstractNum w:abstractNumId="3">
    <w:nsid w:val="3A877D64"/>
    <w:multiLevelType w:val="singleLevel"/>
    <w:tmpl w:val="3A877D64"/>
    <w:lvl w:ilvl="0" w:tentative="0">
      <w:start w:val="1"/>
      <w:numFmt w:val="decimal"/>
      <w:pStyle w:val="145"/>
      <w:lvlText w:val="[%1]"/>
      <w:lvlJc w:val="left"/>
      <w:pPr>
        <w:tabs>
          <w:tab w:val="left" w:pos="360"/>
        </w:tabs>
        <w:ind w:left="360" w:hanging="360"/>
      </w:pPr>
    </w:lvl>
  </w:abstractNum>
  <w:abstractNum w:abstractNumId="4">
    <w:nsid w:val="49895A42"/>
    <w:multiLevelType w:val="multilevel"/>
    <w:tmpl w:val="49895A42"/>
    <w:lvl w:ilvl="0" w:tentative="0">
      <w:start w:val="1"/>
      <w:numFmt w:val="decimal"/>
      <w:lvlText w:val="%1."/>
      <w:lvlJc w:val="left"/>
      <w:pPr>
        <w:ind w:left="360" w:hanging="360"/>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5">
    <w:nsid w:val="52CA544A"/>
    <w:multiLevelType w:val="singleLevel"/>
    <w:tmpl w:val="52CA544A"/>
    <w:lvl w:ilvl="0" w:tentative="0">
      <w:start w:val="1"/>
      <w:numFmt w:val="decimal"/>
      <w:pStyle w:val="119"/>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A0945B7"/>
    <w:multiLevelType w:val="multilevel"/>
    <w:tmpl w:val="5A0945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C52B717"/>
    <w:multiLevelType w:val="singleLevel"/>
    <w:tmpl w:val="5C52B717"/>
    <w:lvl w:ilvl="0" w:tentative="0">
      <w:start w:val="1"/>
      <w:numFmt w:val="decimal"/>
      <w:suff w:val="space"/>
      <w:lvlText w:val="[%1]."/>
      <w:lvlJc w:val="left"/>
    </w:lvl>
  </w:abstractNum>
  <w:abstractNum w:abstractNumId="8">
    <w:nsid w:val="77B12593"/>
    <w:multiLevelType w:val="multilevel"/>
    <w:tmpl w:val="77B12593"/>
    <w:lvl w:ilvl="0" w:tentative="0">
      <w:start w:val="1"/>
      <w:numFmt w:val="bullet"/>
      <w:lvlText w:val=""/>
      <w:lvlJc w:val="left"/>
      <w:pPr>
        <w:ind w:left="720" w:hanging="360"/>
      </w:pPr>
      <w:rPr>
        <w:rFonts w:hint="default" w:ascii="Symbol" w:hAnsi="Symbol"/>
      </w:rPr>
    </w:lvl>
    <w:lvl w:ilvl="1" w:tentative="0">
      <w:start w:val="0"/>
      <w:numFmt w:val="bullet"/>
      <w:lvlText w:val="○"/>
      <w:lvlJc w:val="left"/>
      <w:pPr>
        <w:ind w:left="1440" w:hanging="360"/>
      </w:pPr>
      <w:rPr>
        <w:rFonts w:hint="eastAsia" w:ascii="宋体" w:hAnsi="宋体" w:eastAsia="宋体"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70CEF5"/>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9"/>
  </w:num>
  <w:num w:numId="4">
    <w:abstractNumId w:val="5"/>
  </w:num>
  <w:num w:numId="5">
    <w:abstractNumId w:val="3"/>
    <w:lvlOverride w:ilvl="0">
      <w:startOverride w:val="1"/>
    </w:lvlOverride>
  </w:num>
  <w:num w:numId="6">
    <w:abstractNumId w:val="4"/>
  </w:num>
  <w:num w:numId="7">
    <w:abstractNumId w:val="8"/>
  </w:num>
  <w:num w:numId="8">
    <w:abstractNumId w:val="6"/>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571"/>
    <w:rsid w:val="00002D15"/>
    <w:rsid w:val="000030EB"/>
    <w:rsid w:val="000035F6"/>
    <w:rsid w:val="000040C6"/>
    <w:rsid w:val="0000411A"/>
    <w:rsid w:val="00004192"/>
    <w:rsid w:val="00004351"/>
    <w:rsid w:val="00004511"/>
    <w:rsid w:val="000047B7"/>
    <w:rsid w:val="0000498E"/>
    <w:rsid w:val="00004A3E"/>
    <w:rsid w:val="00004ACC"/>
    <w:rsid w:val="00004C48"/>
    <w:rsid w:val="00004E10"/>
    <w:rsid w:val="00004EFB"/>
    <w:rsid w:val="0000555B"/>
    <w:rsid w:val="00005833"/>
    <w:rsid w:val="00005B39"/>
    <w:rsid w:val="00005F8B"/>
    <w:rsid w:val="000060C6"/>
    <w:rsid w:val="00006119"/>
    <w:rsid w:val="00006186"/>
    <w:rsid w:val="000067C5"/>
    <w:rsid w:val="00006E55"/>
    <w:rsid w:val="00006EA3"/>
    <w:rsid w:val="00007012"/>
    <w:rsid w:val="00007726"/>
    <w:rsid w:val="000079F7"/>
    <w:rsid w:val="00007C4C"/>
    <w:rsid w:val="00007E66"/>
    <w:rsid w:val="00010764"/>
    <w:rsid w:val="00010A2E"/>
    <w:rsid w:val="00010BDE"/>
    <w:rsid w:val="00011217"/>
    <w:rsid w:val="000114D5"/>
    <w:rsid w:val="000116EE"/>
    <w:rsid w:val="000118C2"/>
    <w:rsid w:val="00012608"/>
    <w:rsid w:val="000126D3"/>
    <w:rsid w:val="000127FE"/>
    <w:rsid w:val="000129B9"/>
    <w:rsid w:val="00012ECA"/>
    <w:rsid w:val="000130CA"/>
    <w:rsid w:val="00013366"/>
    <w:rsid w:val="00013FEF"/>
    <w:rsid w:val="0001459D"/>
    <w:rsid w:val="000145E4"/>
    <w:rsid w:val="00014796"/>
    <w:rsid w:val="00014D95"/>
    <w:rsid w:val="00014F5F"/>
    <w:rsid w:val="000154C2"/>
    <w:rsid w:val="00015753"/>
    <w:rsid w:val="00015902"/>
    <w:rsid w:val="00015A1C"/>
    <w:rsid w:val="000164FB"/>
    <w:rsid w:val="00016C16"/>
    <w:rsid w:val="00016DA7"/>
    <w:rsid w:val="00016E91"/>
    <w:rsid w:val="000176A8"/>
    <w:rsid w:val="00017A1A"/>
    <w:rsid w:val="00017AAE"/>
    <w:rsid w:val="00017BB0"/>
    <w:rsid w:val="00017E82"/>
    <w:rsid w:val="00017E87"/>
    <w:rsid w:val="000201D1"/>
    <w:rsid w:val="00020457"/>
    <w:rsid w:val="0002184D"/>
    <w:rsid w:val="00021884"/>
    <w:rsid w:val="0002198E"/>
    <w:rsid w:val="00021A14"/>
    <w:rsid w:val="00022A54"/>
    <w:rsid w:val="00022D93"/>
    <w:rsid w:val="00023A85"/>
    <w:rsid w:val="00023BCD"/>
    <w:rsid w:val="00023FBF"/>
    <w:rsid w:val="0002404D"/>
    <w:rsid w:val="00024170"/>
    <w:rsid w:val="000241B0"/>
    <w:rsid w:val="0002420F"/>
    <w:rsid w:val="000242A3"/>
    <w:rsid w:val="0002489D"/>
    <w:rsid w:val="00024A32"/>
    <w:rsid w:val="00024DA9"/>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630"/>
    <w:rsid w:val="000307DA"/>
    <w:rsid w:val="0003141C"/>
    <w:rsid w:val="000314A0"/>
    <w:rsid w:val="0003176E"/>
    <w:rsid w:val="000319B0"/>
    <w:rsid w:val="00031D46"/>
    <w:rsid w:val="00032478"/>
    <w:rsid w:val="000325C3"/>
    <w:rsid w:val="0003293E"/>
    <w:rsid w:val="000338D8"/>
    <w:rsid w:val="00033B1E"/>
    <w:rsid w:val="00033F8F"/>
    <w:rsid w:val="00034589"/>
    <w:rsid w:val="00034FF6"/>
    <w:rsid w:val="0003510D"/>
    <w:rsid w:val="00035340"/>
    <w:rsid w:val="0003569D"/>
    <w:rsid w:val="00035BE7"/>
    <w:rsid w:val="000378BB"/>
    <w:rsid w:val="00037C7E"/>
    <w:rsid w:val="0004012A"/>
    <w:rsid w:val="000416BC"/>
    <w:rsid w:val="00041910"/>
    <w:rsid w:val="00041961"/>
    <w:rsid w:val="00041976"/>
    <w:rsid w:val="000420BC"/>
    <w:rsid w:val="00042177"/>
    <w:rsid w:val="000425B7"/>
    <w:rsid w:val="00042776"/>
    <w:rsid w:val="000427F7"/>
    <w:rsid w:val="00042AFB"/>
    <w:rsid w:val="00043B6C"/>
    <w:rsid w:val="00043D95"/>
    <w:rsid w:val="00044469"/>
    <w:rsid w:val="00044ACE"/>
    <w:rsid w:val="00044C9A"/>
    <w:rsid w:val="000459EF"/>
    <w:rsid w:val="0004645D"/>
    <w:rsid w:val="000465B4"/>
    <w:rsid w:val="00046684"/>
    <w:rsid w:val="00046B84"/>
    <w:rsid w:val="00046D1E"/>
    <w:rsid w:val="00046E22"/>
    <w:rsid w:val="00046F98"/>
    <w:rsid w:val="00047156"/>
    <w:rsid w:val="00047647"/>
    <w:rsid w:val="0005018F"/>
    <w:rsid w:val="0005158F"/>
    <w:rsid w:val="00051A49"/>
    <w:rsid w:val="00051D76"/>
    <w:rsid w:val="00051FFE"/>
    <w:rsid w:val="000523A2"/>
    <w:rsid w:val="00052608"/>
    <w:rsid w:val="0005269D"/>
    <w:rsid w:val="000527C0"/>
    <w:rsid w:val="0005293E"/>
    <w:rsid w:val="00053AF4"/>
    <w:rsid w:val="00053B1F"/>
    <w:rsid w:val="00053EF4"/>
    <w:rsid w:val="00054810"/>
    <w:rsid w:val="00054CC1"/>
    <w:rsid w:val="000554C4"/>
    <w:rsid w:val="000555C4"/>
    <w:rsid w:val="0005585A"/>
    <w:rsid w:val="00055D01"/>
    <w:rsid w:val="00055DE0"/>
    <w:rsid w:val="00055E7F"/>
    <w:rsid w:val="0005634E"/>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CBB"/>
    <w:rsid w:val="000661C0"/>
    <w:rsid w:val="00066653"/>
    <w:rsid w:val="00066D51"/>
    <w:rsid w:val="00067476"/>
    <w:rsid w:val="000679E1"/>
    <w:rsid w:val="00067DD2"/>
    <w:rsid w:val="00067F3E"/>
    <w:rsid w:val="000701A8"/>
    <w:rsid w:val="000702BE"/>
    <w:rsid w:val="000704DB"/>
    <w:rsid w:val="000707E7"/>
    <w:rsid w:val="00070961"/>
    <w:rsid w:val="00070BD2"/>
    <w:rsid w:val="00070C42"/>
    <w:rsid w:val="00072005"/>
    <w:rsid w:val="00072615"/>
    <w:rsid w:val="00072755"/>
    <w:rsid w:val="00073125"/>
    <w:rsid w:val="00073340"/>
    <w:rsid w:val="0007338E"/>
    <w:rsid w:val="00073448"/>
    <w:rsid w:val="0007425F"/>
    <w:rsid w:val="0007436C"/>
    <w:rsid w:val="000743C5"/>
    <w:rsid w:val="00074BED"/>
    <w:rsid w:val="00075077"/>
    <w:rsid w:val="000754EC"/>
    <w:rsid w:val="0007645E"/>
    <w:rsid w:val="00076678"/>
    <w:rsid w:val="00076A0C"/>
    <w:rsid w:val="00076A88"/>
    <w:rsid w:val="00076B12"/>
    <w:rsid w:val="0007777E"/>
    <w:rsid w:val="000779AF"/>
    <w:rsid w:val="00077D8A"/>
    <w:rsid w:val="00077D99"/>
    <w:rsid w:val="00080190"/>
    <w:rsid w:val="00080E30"/>
    <w:rsid w:val="00080FF4"/>
    <w:rsid w:val="00081255"/>
    <w:rsid w:val="00081BC7"/>
    <w:rsid w:val="00081C2D"/>
    <w:rsid w:val="0008207F"/>
    <w:rsid w:val="00082126"/>
    <w:rsid w:val="0008232D"/>
    <w:rsid w:val="00082535"/>
    <w:rsid w:val="000829B4"/>
    <w:rsid w:val="00082A07"/>
    <w:rsid w:val="00083612"/>
    <w:rsid w:val="00083AC0"/>
    <w:rsid w:val="00083C02"/>
    <w:rsid w:val="00083CC7"/>
    <w:rsid w:val="00084114"/>
    <w:rsid w:val="00084A00"/>
    <w:rsid w:val="00084BCD"/>
    <w:rsid w:val="00085276"/>
    <w:rsid w:val="000855F3"/>
    <w:rsid w:val="00086AE0"/>
    <w:rsid w:val="0008718C"/>
    <w:rsid w:val="00087EB0"/>
    <w:rsid w:val="00090193"/>
    <w:rsid w:val="000903D9"/>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C10"/>
    <w:rsid w:val="00095D7E"/>
    <w:rsid w:val="00095FB3"/>
    <w:rsid w:val="00096346"/>
    <w:rsid w:val="00096641"/>
    <w:rsid w:val="0009672C"/>
    <w:rsid w:val="00096B35"/>
    <w:rsid w:val="00096FDB"/>
    <w:rsid w:val="000976B9"/>
    <w:rsid w:val="00097898"/>
    <w:rsid w:val="000978D8"/>
    <w:rsid w:val="00097CD4"/>
    <w:rsid w:val="00097E74"/>
    <w:rsid w:val="000A01A9"/>
    <w:rsid w:val="000A0446"/>
    <w:rsid w:val="000A04C9"/>
    <w:rsid w:val="000A09CC"/>
    <w:rsid w:val="000A1092"/>
    <w:rsid w:val="000A13B3"/>
    <w:rsid w:val="000A1887"/>
    <w:rsid w:val="000A188A"/>
    <w:rsid w:val="000A2144"/>
    <w:rsid w:val="000A2614"/>
    <w:rsid w:val="000A310A"/>
    <w:rsid w:val="000A33F0"/>
    <w:rsid w:val="000A3E82"/>
    <w:rsid w:val="000A4AC4"/>
    <w:rsid w:val="000A4AD5"/>
    <w:rsid w:val="000A4B8B"/>
    <w:rsid w:val="000A4CB0"/>
    <w:rsid w:val="000A511E"/>
    <w:rsid w:val="000A552F"/>
    <w:rsid w:val="000A55B3"/>
    <w:rsid w:val="000A5ACB"/>
    <w:rsid w:val="000A5B15"/>
    <w:rsid w:val="000A5BC6"/>
    <w:rsid w:val="000A5D38"/>
    <w:rsid w:val="000A5E1D"/>
    <w:rsid w:val="000A680D"/>
    <w:rsid w:val="000A689F"/>
    <w:rsid w:val="000A68CA"/>
    <w:rsid w:val="000A6A47"/>
    <w:rsid w:val="000A6A59"/>
    <w:rsid w:val="000A6C74"/>
    <w:rsid w:val="000A758C"/>
    <w:rsid w:val="000A7C54"/>
    <w:rsid w:val="000A7C7A"/>
    <w:rsid w:val="000B006E"/>
    <w:rsid w:val="000B05C4"/>
    <w:rsid w:val="000B098D"/>
    <w:rsid w:val="000B0CC8"/>
    <w:rsid w:val="000B0E31"/>
    <w:rsid w:val="000B0F83"/>
    <w:rsid w:val="000B193F"/>
    <w:rsid w:val="000B19BE"/>
    <w:rsid w:val="000B2553"/>
    <w:rsid w:val="000B2E1C"/>
    <w:rsid w:val="000B2F6C"/>
    <w:rsid w:val="000B36BC"/>
    <w:rsid w:val="000B3928"/>
    <w:rsid w:val="000B3C84"/>
    <w:rsid w:val="000B4163"/>
    <w:rsid w:val="000B4232"/>
    <w:rsid w:val="000B434A"/>
    <w:rsid w:val="000B451D"/>
    <w:rsid w:val="000B45CF"/>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135"/>
    <w:rsid w:val="000C1412"/>
    <w:rsid w:val="000C1A0B"/>
    <w:rsid w:val="000C1FC4"/>
    <w:rsid w:val="000C2E4E"/>
    <w:rsid w:val="000C35C6"/>
    <w:rsid w:val="000C396F"/>
    <w:rsid w:val="000C3FB0"/>
    <w:rsid w:val="000C4A8A"/>
    <w:rsid w:val="000C4DEA"/>
    <w:rsid w:val="000C5085"/>
    <w:rsid w:val="000C5190"/>
    <w:rsid w:val="000C5344"/>
    <w:rsid w:val="000C5FFE"/>
    <w:rsid w:val="000C65CC"/>
    <w:rsid w:val="000C65F3"/>
    <w:rsid w:val="000C68FA"/>
    <w:rsid w:val="000C690A"/>
    <w:rsid w:val="000C6F84"/>
    <w:rsid w:val="000C701F"/>
    <w:rsid w:val="000C7317"/>
    <w:rsid w:val="000C7498"/>
    <w:rsid w:val="000C75C7"/>
    <w:rsid w:val="000C7885"/>
    <w:rsid w:val="000C7BBD"/>
    <w:rsid w:val="000C7F6C"/>
    <w:rsid w:val="000D00EE"/>
    <w:rsid w:val="000D0255"/>
    <w:rsid w:val="000D02A2"/>
    <w:rsid w:val="000D0590"/>
    <w:rsid w:val="000D0938"/>
    <w:rsid w:val="000D0955"/>
    <w:rsid w:val="000D0977"/>
    <w:rsid w:val="000D0DAF"/>
    <w:rsid w:val="000D0E0E"/>
    <w:rsid w:val="000D17ED"/>
    <w:rsid w:val="000D1AE9"/>
    <w:rsid w:val="000D20E4"/>
    <w:rsid w:val="000D250A"/>
    <w:rsid w:val="000D294C"/>
    <w:rsid w:val="000D2997"/>
    <w:rsid w:val="000D2A6B"/>
    <w:rsid w:val="000D3083"/>
    <w:rsid w:val="000D3303"/>
    <w:rsid w:val="000D3454"/>
    <w:rsid w:val="000D3541"/>
    <w:rsid w:val="000D3620"/>
    <w:rsid w:val="000D38AD"/>
    <w:rsid w:val="000D3AE7"/>
    <w:rsid w:val="000D3DD5"/>
    <w:rsid w:val="000D3E8D"/>
    <w:rsid w:val="000D4205"/>
    <w:rsid w:val="000D46D5"/>
    <w:rsid w:val="000D4913"/>
    <w:rsid w:val="000D4945"/>
    <w:rsid w:val="000D4AF3"/>
    <w:rsid w:val="000D4B45"/>
    <w:rsid w:val="000D4F8B"/>
    <w:rsid w:val="000D548A"/>
    <w:rsid w:val="000D580C"/>
    <w:rsid w:val="000D60C8"/>
    <w:rsid w:val="000D63FD"/>
    <w:rsid w:val="000D66B4"/>
    <w:rsid w:val="000D7308"/>
    <w:rsid w:val="000D7521"/>
    <w:rsid w:val="000E0EC6"/>
    <w:rsid w:val="000E1047"/>
    <w:rsid w:val="000E13BE"/>
    <w:rsid w:val="000E14D0"/>
    <w:rsid w:val="000E199F"/>
    <w:rsid w:val="000E1CFB"/>
    <w:rsid w:val="000E265A"/>
    <w:rsid w:val="000E279A"/>
    <w:rsid w:val="000E2A3A"/>
    <w:rsid w:val="000E2D30"/>
    <w:rsid w:val="000E2D40"/>
    <w:rsid w:val="000E3175"/>
    <w:rsid w:val="000E33D0"/>
    <w:rsid w:val="000E350B"/>
    <w:rsid w:val="000E3B82"/>
    <w:rsid w:val="000E3E84"/>
    <w:rsid w:val="000E4121"/>
    <w:rsid w:val="000E4B6C"/>
    <w:rsid w:val="000E4CC9"/>
    <w:rsid w:val="000E5060"/>
    <w:rsid w:val="000E52F0"/>
    <w:rsid w:val="000E57F9"/>
    <w:rsid w:val="000E59C2"/>
    <w:rsid w:val="000E5B7D"/>
    <w:rsid w:val="000E6461"/>
    <w:rsid w:val="000E6852"/>
    <w:rsid w:val="000E694F"/>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929"/>
    <w:rsid w:val="000F5BC8"/>
    <w:rsid w:val="000F600C"/>
    <w:rsid w:val="000F60B1"/>
    <w:rsid w:val="000F70A2"/>
    <w:rsid w:val="000F7468"/>
    <w:rsid w:val="000F77EF"/>
    <w:rsid w:val="000F78F0"/>
    <w:rsid w:val="000F7C42"/>
    <w:rsid w:val="000F7D05"/>
    <w:rsid w:val="000F7EFB"/>
    <w:rsid w:val="000F7F21"/>
    <w:rsid w:val="000F7FAB"/>
    <w:rsid w:val="001003BE"/>
    <w:rsid w:val="001005A4"/>
    <w:rsid w:val="00100744"/>
    <w:rsid w:val="00100921"/>
    <w:rsid w:val="001009AA"/>
    <w:rsid w:val="00100F59"/>
    <w:rsid w:val="001010C3"/>
    <w:rsid w:val="00101A97"/>
    <w:rsid w:val="00102057"/>
    <w:rsid w:val="001023C5"/>
    <w:rsid w:val="001027F4"/>
    <w:rsid w:val="00102A7F"/>
    <w:rsid w:val="0010302C"/>
    <w:rsid w:val="0010323F"/>
    <w:rsid w:val="00103420"/>
    <w:rsid w:val="00103454"/>
    <w:rsid w:val="0010345D"/>
    <w:rsid w:val="00103804"/>
    <w:rsid w:val="00103B97"/>
    <w:rsid w:val="0010413C"/>
    <w:rsid w:val="001044D8"/>
    <w:rsid w:val="00104A90"/>
    <w:rsid w:val="00104DA1"/>
    <w:rsid w:val="00104FF3"/>
    <w:rsid w:val="00105615"/>
    <w:rsid w:val="0010584B"/>
    <w:rsid w:val="001059C3"/>
    <w:rsid w:val="00105D65"/>
    <w:rsid w:val="00105F0F"/>
    <w:rsid w:val="001060B4"/>
    <w:rsid w:val="0010616C"/>
    <w:rsid w:val="001063B9"/>
    <w:rsid w:val="001074B7"/>
    <w:rsid w:val="001078D6"/>
    <w:rsid w:val="00107E5D"/>
    <w:rsid w:val="001102EE"/>
    <w:rsid w:val="001106EC"/>
    <w:rsid w:val="00110D44"/>
    <w:rsid w:val="00110EF6"/>
    <w:rsid w:val="001110DD"/>
    <w:rsid w:val="00111297"/>
    <w:rsid w:val="00112B32"/>
    <w:rsid w:val="00112F55"/>
    <w:rsid w:val="001134A5"/>
    <w:rsid w:val="00113DCC"/>
    <w:rsid w:val="0011409D"/>
    <w:rsid w:val="00114BAA"/>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C15"/>
    <w:rsid w:val="00126E0C"/>
    <w:rsid w:val="00127058"/>
    <w:rsid w:val="00127176"/>
    <w:rsid w:val="001273DB"/>
    <w:rsid w:val="001279F0"/>
    <w:rsid w:val="00127EA2"/>
    <w:rsid w:val="001302CB"/>
    <w:rsid w:val="0013032A"/>
    <w:rsid w:val="001304A1"/>
    <w:rsid w:val="0013139A"/>
    <w:rsid w:val="001313FC"/>
    <w:rsid w:val="00131633"/>
    <w:rsid w:val="001319E3"/>
    <w:rsid w:val="00131C8A"/>
    <w:rsid w:val="001323C2"/>
    <w:rsid w:val="001323FD"/>
    <w:rsid w:val="0013265C"/>
    <w:rsid w:val="00132661"/>
    <w:rsid w:val="001327DE"/>
    <w:rsid w:val="0013363E"/>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F5C"/>
    <w:rsid w:val="001405A0"/>
    <w:rsid w:val="00140B19"/>
    <w:rsid w:val="00140B9D"/>
    <w:rsid w:val="00140FF7"/>
    <w:rsid w:val="00141281"/>
    <w:rsid w:val="0014139A"/>
    <w:rsid w:val="00141B0A"/>
    <w:rsid w:val="00142687"/>
    <w:rsid w:val="00142810"/>
    <w:rsid w:val="001436C9"/>
    <w:rsid w:val="00143CE3"/>
    <w:rsid w:val="00143D6A"/>
    <w:rsid w:val="00144381"/>
    <w:rsid w:val="00144B25"/>
    <w:rsid w:val="00144E1E"/>
    <w:rsid w:val="00144E53"/>
    <w:rsid w:val="00145312"/>
    <w:rsid w:val="0014646E"/>
    <w:rsid w:val="00146615"/>
    <w:rsid w:val="0014679A"/>
    <w:rsid w:val="00146805"/>
    <w:rsid w:val="001469C5"/>
    <w:rsid w:val="00146A38"/>
    <w:rsid w:val="00146B9E"/>
    <w:rsid w:val="00147420"/>
    <w:rsid w:val="00147862"/>
    <w:rsid w:val="001479FE"/>
    <w:rsid w:val="00147BDE"/>
    <w:rsid w:val="0015046A"/>
    <w:rsid w:val="00150503"/>
    <w:rsid w:val="001509E6"/>
    <w:rsid w:val="00150C7E"/>
    <w:rsid w:val="00150E18"/>
    <w:rsid w:val="001511EF"/>
    <w:rsid w:val="001516CD"/>
    <w:rsid w:val="00151FF3"/>
    <w:rsid w:val="00152226"/>
    <w:rsid w:val="0015279F"/>
    <w:rsid w:val="00152FD5"/>
    <w:rsid w:val="0015317A"/>
    <w:rsid w:val="00153F78"/>
    <w:rsid w:val="00153FEF"/>
    <w:rsid w:val="00154206"/>
    <w:rsid w:val="00154349"/>
    <w:rsid w:val="001548C0"/>
    <w:rsid w:val="001554FC"/>
    <w:rsid w:val="00155847"/>
    <w:rsid w:val="00155CA0"/>
    <w:rsid w:val="00155DE9"/>
    <w:rsid w:val="0015631A"/>
    <w:rsid w:val="00156BE5"/>
    <w:rsid w:val="00156C63"/>
    <w:rsid w:val="00156EF9"/>
    <w:rsid w:val="0015713D"/>
    <w:rsid w:val="001572B7"/>
    <w:rsid w:val="00157507"/>
    <w:rsid w:val="0015767C"/>
    <w:rsid w:val="00157885"/>
    <w:rsid w:val="00157CE1"/>
    <w:rsid w:val="00160068"/>
    <w:rsid w:val="00160354"/>
    <w:rsid w:val="001608FC"/>
    <w:rsid w:val="00161386"/>
    <w:rsid w:val="00161FD6"/>
    <w:rsid w:val="00162044"/>
    <w:rsid w:val="00162129"/>
    <w:rsid w:val="00162285"/>
    <w:rsid w:val="001625DF"/>
    <w:rsid w:val="001627CB"/>
    <w:rsid w:val="001631C1"/>
    <w:rsid w:val="00163BA9"/>
    <w:rsid w:val="001641B7"/>
    <w:rsid w:val="00164A98"/>
    <w:rsid w:val="00164AAB"/>
    <w:rsid w:val="00164BE7"/>
    <w:rsid w:val="00165284"/>
    <w:rsid w:val="00165429"/>
    <w:rsid w:val="001658D1"/>
    <w:rsid w:val="00165DC5"/>
    <w:rsid w:val="00165FBE"/>
    <w:rsid w:val="00166079"/>
    <w:rsid w:val="00166B86"/>
    <w:rsid w:val="00166B8F"/>
    <w:rsid w:val="00166C08"/>
    <w:rsid w:val="00166EE3"/>
    <w:rsid w:val="00170A7C"/>
    <w:rsid w:val="00171291"/>
    <w:rsid w:val="00171308"/>
    <w:rsid w:val="00171752"/>
    <w:rsid w:val="00171C3B"/>
    <w:rsid w:val="00171D20"/>
    <w:rsid w:val="00172236"/>
    <w:rsid w:val="001728A1"/>
    <w:rsid w:val="00172C86"/>
    <w:rsid w:val="00173304"/>
    <w:rsid w:val="00173356"/>
    <w:rsid w:val="001734C9"/>
    <w:rsid w:val="00173B0B"/>
    <w:rsid w:val="00173D52"/>
    <w:rsid w:val="001740DD"/>
    <w:rsid w:val="00174557"/>
    <w:rsid w:val="00174D8E"/>
    <w:rsid w:val="0017512E"/>
    <w:rsid w:val="001752C4"/>
    <w:rsid w:val="00175988"/>
    <w:rsid w:val="00176433"/>
    <w:rsid w:val="00176D3B"/>
    <w:rsid w:val="00176E4B"/>
    <w:rsid w:val="00176F07"/>
    <w:rsid w:val="00177180"/>
    <w:rsid w:val="001776EE"/>
    <w:rsid w:val="00177C9B"/>
    <w:rsid w:val="00177F85"/>
    <w:rsid w:val="00180CD3"/>
    <w:rsid w:val="0018139F"/>
    <w:rsid w:val="0018145E"/>
    <w:rsid w:val="00181571"/>
    <w:rsid w:val="00181B40"/>
    <w:rsid w:val="0018237A"/>
    <w:rsid w:val="001823B6"/>
    <w:rsid w:val="00182E34"/>
    <w:rsid w:val="00182F7A"/>
    <w:rsid w:val="0018368F"/>
    <w:rsid w:val="00184678"/>
    <w:rsid w:val="0018471A"/>
    <w:rsid w:val="00184912"/>
    <w:rsid w:val="00184F5F"/>
    <w:rsid w:val="00185B10"/>
    <w:rsid w:val="00185D6E"/>
    <w:rsid w:val="00186816"/>
    <w:rsid w:val="00186C71"/>
    <w:rsid w:val="00186E32"/>
    <w:rsid w:val="00187237"/>
    <w:rsid w:val="001875CA"/>
    <w:rsid w:val="001877C3"/>
    <w:rsid w:val="00187CE5"/>
    <w:rsid w:val="0019077B"/>
    <w:rsid w:val="00190962"/>
    <w:rsid w:val="00190D90"/>
    <w:rsid w:val="001912BA"/>
    <w:rsid w:val="001912C6"/>
    <w:rsid w:val="00191677"/>
    <w:rsid w:val="00192051"/>
    <w:rsid w:val="00192223"/>
    <w:rsid w:val="00192363"/>
    <w:rsid w:val="001925E6"/>
    <w:rsid w:val="001926F4"/>
    <w:rsid w:val="001929FF"/>
    <w:rsid w:val="001932EA"/>
    <w:rsid w:val="001936C5"/>
    <w:rsid w:val="00193945"/>
    <w:rsid w:val="00193DB0"/>
    <w:rsid w:val="001943B9"/>
    <w:rsid w:val="001945BF"/>
    <w:rsid w:val="0019464E"/>
    <w:rsid w:val="0019467F"/>
    <w:rsid w:val="00194771"/>
    <w:rsid w:val="00195639"/>
    <w:rsid w:val="00195AE6"/>
    <w:rsid w:val="00195B0B"/>
    <w:rsid w:val="0019680D"/>
    <w:rsid w:val="0019688E"/>
    <w:rsid w:val="001968C0"/>
    <w:rsid w:val="00196B76"/>
    <w:rsid w:val="001973E2"/>
    <w:rsid w:val="00197EA3"/>
    <w:rsid w:val="00197F72"/>
    <w:rsid w:val="001A04FC"/>
    <w:rsid w:val="001A069F"/>
    <w:rsid w:val="001A0D32"/>
    <w:rsid w:val="001A0EB4"/>
    <w:rsid w:val="001A1060"/>
    <w:rsid w:val="001A1561"/>
    <w:rsid w:val="001A1610"/>
    <w:rsid w:val="001A16C2"/>
    <w:rsid w:val="001A181C"/>
    <w:rsid w:val="001A193D"/>
    <w:rsid w:val="001A2706"/>
    <w:rsid w:val="001A27BF"/>
    <w:rsid w:val="001A359C"/>
    <w:rsid w:val="001A35B2"/>
    <w:rsid w:val="001A386C"/>
    <w:rsid w:val="001A3B12"/>
    <w:rsid w:val="001A3D9B"/>
    <w:rsid w:val="001A3DEF"/>
    <w:rsid w:val="001A3EFF"/>
    <w:rsid w:val="001A4541"/>
    <w:rsid w:val="001A45DE"/>
    <w:rsid w:val="001A4817"/>
    <w:rsid w:val="001A4B63"/>
    <w:rsid w:val="001A4CA0"/>
    <w:rsid w:val="001A5860"/>
    <w:rsid w:val="001A5BBA"/>
    <w:rsid w:val="001A5CDA"/>
    <w:rsid w:val="001A5CF2"/>
    <w:rsid w:val="001A6F3C"/>
    <w:rsid w:val="001A7691"/>
    <w:rsid w:val="001A78B0"/>
    <w:rsid w:val="001A7958"/>
    <w:rsid w:val="001A7BCE"/>
    <w:rsid w:val="001A7CD9"/>
    <w:rsid w:val="001A7FDF"/>
    <w:rsid w:val="001B01EC"/>
    <w:rsid w:val="001B041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2BB"/>
    <w:rsid w:val="001B4B54"/>
    <w:rsid w:val="001B4ED3"/>
    <w:rsid w:val="001B54AC"/>
    <w:rsid w:val="001B5E69"/>
    <w:rsid w:val="001B5FB6"/>
    <w:rsid w:val="001B6B57"/>
    <w:rsid w:val="001B7021"/>
    <w:rsid w:val="001B70A3"/>
    <w:rsid w:val="001B74A5"/>
    <w:rsid w:val="001B74E2"/>
    <w:rsid w:val="001B7BCA"/>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5EC3"/>
    <w:rsid w:val="001C659F"/>
    <w:rsid w:val="001C67C3"/>
    <w:rsid w:val="001C6807"/>
    <w:rsid w:val="001C69A2"/>
    <w:rsid w:val="001C7503"/>
    <w:rsid w:val="001C7655"/>
    <w:rsid w:val="001C76F0"/>
    <w:rsid w:val="001C7A36"/>
    <w:rsid w:val="001C7FB7"/>
    <w:rsid w:val="001D0188"/>
    <w:rsid w:val="001D01A1"/>
    <w:rsid w:val="001D050D"/>
    <w:rsid w:val="001D0E76"/>
    <w:rsid w:val="001D0EB1"/>
    <w:rsid w:val="001D11AE"/>
    <w:rsid w:val="001D15EA"/>
    <w:rsid w:val="001D1A96"/>
    <w:rsid w:val="001D1CED"/>
    <w:rsid w:val="001D20C1"/>
    <w:rsid w:val="001D20D0"/>
    <w:rsid w:val="001D309D"/>
    <w:rsid w:val="001D31D0"/>
    <w:rsid w:val="001D42E4"/>
    <w:rsid w:val="001D4711"/>
    <w:rsid w:val="001D5012"/>
    <w:rsid w:val="001D53AB"/>
    <w:rsid w:val="001D55A2"/>
    <w:rsid w:val="001D5F16"/>
    <w:rsid w:val="001D60B3"/>
    <w:rsid w:val="001D6142"/>
    <w:rsid w:val="001D6200"/>
    <w:rsid w:val="001D62AA"/>
    <w:rsid w:val="001D6836"/>
    <w:rsid w:val="001D6871"/>
    <w:rsid w:val="001D69F2"/>
    <w:rsid w:val="001D7CA8"/>
    <w:rsid w:val="001D7DEB"/>
    <w:rsid w:val="001D7E5B"/>
    <w:rsid w:val="001D7F3D"/>
    <w:rsid w:val="001D7FC4"/>
    <w:rsid w:val="001E00BA"/>
    <w:rsid w:val="001E01C0"/>
    <w:rsid w:val="001E01EF"/>
    <w:rsid w:val="001E0854"/>
    <w:rsid w:val="001E0B42"/>
    <w:rsid w:val="001E1020"/>
    <w:rsid w:val="001E10C4"/>
    <w:rsid w:val="001E128C"/>
    <w:rsid w:val="001E14D3"/>
    <w:rsid w:val="001E1873"/>
    <w:rsid w:val="001E1C37"/>
    <w:rsid w:val="001E1EB7"/>
    <w:rsid w:val="001E1EE3"/>
    <w:rsid w:val="001E2109"/>
    <w:rsid w:val="001E2AA1"/>
    <w:rsid w:val="001E2C7A"/>
    <w:rsid w:val="001E2E40"/>
    <w:rsid w:val="001E3389"/>
    <w:rsid w:val="001E3D73"/>
    <w:rsid w:val="001E3FAC"/>
    <w:rsid w:val="001E461D"/>
    <w:rsid w:val="001E55F7"/>
    <w:rsid w:val="001E56F0"/>
    <w:rsid w:val="001E57A3"/>
    <w:rsid w:val="001E58A3"/>
    <w:rsid w:val="001E5E70"/>
    <w:rsid w:val="001E62CA"/>
    <w:rsid w:val="001E637F"/>
    <w:rsid w:val="001E646A"/>
    <w:rsid w:val="001E66B3"/>
    <w:rsid w:val="001E6A74"/>
    <w:rsid w:val="001E6CDC"/>
    <w:rsid w:val="001E707A"/>
    <w:rsid w:val="001E7283"/>
    <w:rsid w:val="001E73A4"/>
    <w:rsid w:val="001E7B9F"/>
    <w:rsid w:val="001E7C94"/>
    <w:rsid w:val="001E7D62"/>
    <w:rsid w:val="001E7F38"/>
    <w:rsid w:val="001F0610"/>
    <w:rsid w:val="001F0750"/>
    <w:rsid w:val="001F0876"/>
    <w:rsid w:val="001F1410"/>
    <w:rsid w:val="001F18D9"/>
    <w:rsid w:val="001F1F85"/>
    <w:rsid w:val="001F204E"/>
    <w:rsid w:val="001F210B"/>
    <w:rsid w:val="001F222A"/>
    <w:rsid w:val="001F2751"/>
    <w:rsid w:val="001F27CA"/>
    <w:rsid w:val="001F2BBB"/>
    <w:rsid w:val="001F2CA7"/>
    <w:rsid w:val="001F3730"/>
    <w:rsid w:val="001F3F5B"/>
    <w:rsid w:val="001F400C"/>
    <w:rsid w:val="001F4644"/>
    <w:rsid w:val="001F4803"/>
    <w:rsid w:val="001F4E2C"/>
    <w:rsid w:val="001F4FDF"/>
    <w:rsid w:val="001F51CC"/>
    <w:rsid w:val="001F52BC"/>
    <w:rsid w:val="001F537C"/>
    <w:rsid w:val="001F56A0"/>
    <w:rsid w:val="001F5B65"/>
    <w:rsid w:val="001F5BD7"/>
    <w:rsid w:val="001F6389"/>
    <w:rsid w:val="001F659B"/>
    <w:rsid w:val="001F663A"/>
    <w:rsid w:val="001F66AF"/>
    <w:rsid w:val="001F6770"/>
    <w:rsid w:val="001F6798"/>
    <w:rsid w:val="001F6B0B"/>
    <w:rsid w:val="001F6D8B"/>
    <w:rsid w:val="001F7BBF"/>
    <w:rsid w:val="0020015E"/>
    <w:rsid w:val="0020062B"/>
    <w:rsid w:val="00200D92"/>
    <w:rsid w:val="00201A94"/>
    <w:rsid w:val="00201B59"/>
    <w:rsid w:val="00201D53"/>
    <w:rsid w:val="00201DD6"/>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EA"/>
    <w:rsid w:val="002072A7"/>
    <w:rsid w:val="002074A6"/>
    <w:rsid w:val="00207860"/>
    <w:rsid w:val="00207B6A"/>
    <w:rsid w:val="00207DA7"/>
    <w:rsid w:val="00210371"/>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A29"/>
    <w:rsid w:val="00217CAD"/>
    <w:rsid w:val="00217CBE"/>
    <w:rsid w:val="0022005C"/>
    <w:rsid w:val="002208C9"/>
    <w:rsid w:val="00221063"/>
    <w:rsid w:val="0022159C"/>
    <w:rsid w:val="0022164F"/>
    <w:rsid w:val="00221656"/>
    <w:rsid w:val="00221B3A"/>
    <w:rsid w:val="00221ED4"/>
    <w:rsid w:val="0022227E"/>
    <w:rsid w:val="0022279D"/>
    <w:rsid w:val="00222B96"/>
    <w:rsid w:val="00223751"/>
    <w:rsid w:val="00223850"/>
    <w:rsid w:val="00223B8B"/>
    <w:rsid w:val="0022407F"/>
    <w:rsid w:val="002242A3"/>
    <w:rsid w:val="002246E0"/>
    <w:rsid w:val="00224E2B"/>
    <w:rsid w:val="002255A1"/>
    <w:rsid w:val="00226706"/>
    <w:rsid w:val="0022705A"/>
    <w:rsid w:val="0022715F"/>
    <w:rsid w:val="002273C5"/>
    <w:rsid w:val="00227597"/>
    <w:rsid w:val="00230148"/>
    <w:rsid w:val="0023038A"/>
    <w:rsid w:val="00230977"/>
    <w:rsid w:val="00230E00"/>
    <w:rsid w:val="002317A1"/>
    <w:rsid w:val="0023203C"/>
    <w:rsid w:val="0023282E"/>
    <w:rsid w:val="00232B6D"/>
    <w:rsid w:val="00232DA4"/>
    <w:rsid w:val="00232DC6"/>
    <w:rsid w:val="002331FB"/>
    <w:rsid w:val="002333FA"/>
    <w:rsid w:val="002338CB"/>
    <w:rsid w:val="002339AE"/>
    <w:rsid w:val="00234736"/>
    <w:rsid w:val="002347BE"/>
    <w:rsid w:val="00234B71"/>
    <w:rsid w:val="0023509B"/>
    <w:rsid w:val="00235668"/>
    <w:rsid w:val="00235A7F"/>
    <w:rsid w:val="00235CA6"/>
    <w:rsid w:val="0023603B"/>
    <w:rsid w:val="00236047"/>
    <w:rsid w:val="002366D3"/>
    <w:rsid w:val="00236870"/>
    <w:rsid w:val="002368CA"/>
    <w:rsid w:val="00236E1C"/>
    <w:rsid w:val="0023716A"/>
    <w:rsid w:val="00237291"/>
    <w:rsid w:val="00237491"/>
    <w:rsid w:val="002401FA"/>
    <w:rsid w:val="00240793"/>
    <w:rsid w:val="00240D5F"/>
    <w:rsid w:val="002410DA"/>
    <w:rsid w:val="002412DA"/>
    <w:rsid w:val="00241B74"/>
    <w:rsid w:val="00241D8C"/>
    <w:rsid w:val="00241DBF"/>
    <w:rsid w:val="002421FB"/>
    <w:rsid w:val="00242406"/>
    <w:rsid w:val="00242605"/>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137"/>
    <w:rsid w:val="0024724D"/>
    <w:rsid w:val="002475A6"/>
    <w:rsid w:val="002475FE"/>
    <w:rsid w:val="002478B3"/>
    <w:rsid w:val="00247AD6"/>
    <w:rsid w:val="00247D81"/>
    <w:rsid w:val="00247F46"/>
    <w:rsid w:val="00247FA8"/>
    <w:rsid w:val="00250575"/>
    <w:rsid w:val="00250C0A"/>
    <w:rsid w:val="00250D91"/>
    <w:rsid w:val="00250F09"/>
    <w:rsid w:val="00251247"/>
    <w:rsid w:val="002516F7"/>
    <w:rsid w:val="002518E3"/>
    <w:rsid w:val="00251A7C"/>
    <w:rsid w:val="00252177"/>
    <w:rsid w:val="00252368"/>
    <w:rsid w:val="0025255F"/>
    <w:rsid w:val="002526F3"/>
    <w:rsid w:val="00252738"/>
    <w:rsid w:val="002531DC"/>
    <w:rsid w:val="002533DA"/>
    <w:rsid w:val="00254B03"/>
    <w:rsid w:val="00255139"/>
    <w:rsid w:val="00255174"/>
    <w:rsid w:val="00255214"/>
    <w:rsid w:val="00255459"/>
    <w:rsid w:val="00255CDA"/>
    <w:rsid w:val="00255FE1"/>
    <w:rsid w:val="002576A6"/>
    <w:rsid w:val="0025781C"/>
    <w:rsid w:val="002579B1"/>
    <w:rsid w:val="00257B6E"/>
    <w:rsid w:val="00257B75"/>
    <w:rsid w:val="00257E6C"/>
    <w:rsid w:val="00260047"/>
    <w:rsid w:val="002606F9"/>
    <w:rsid w:val="00260E58"/>
    <w:rsid w:val="0026161F"/>
    <w:rsid w:val="0026189E"/>
    <w:rsid w:val="002621D8"/>
    <w:rsid w:val="002628D8"/>
    <w:rsid w:val="00262B50"/>
    <w:rsid w:val="00262E21"/>
    <w:rsid w:val="00263221"/>
    <w:rsid w:val="00263299"/>
    <w:rsid w:val="0026355E"/>
    <w:rsid w:val="0026368A"/>
    <w:rsid w:val="00263734"/>
    <w:rsid w:val="00263C1B"/>
    <w:rsid w:val="00263C26"/>
    <w:rsid w:val="00263F44"/>
    <w:rsid w:val="00264FD7"/>
    <w:rsid w:val="0026531B"/>
    <w:rsid w:val="00265403"/>
    <w:rsid w:val="00265C1B"/>
    <w:rsid w:val="00265DB0"/>
    <w:rsid w:val="002667F3"/>
    <w:rsid w:val="00266825"/>
    <w:rsid w:val="00266CD3"/>
    <w:rsid w:val="00266E8C"/>
    <w:rsid w:val="00267D93"/>
    <w:rsid w:val="00267EDB"/>
    <w:rsid w:val="00270122"/>
    <w:rsid w:val="0027074A"/>
    <w:rsid w:val="00271732"/>
    <w:rsid w:val="002724E0"/>
    <w:rsid w:val="002727FB"/>
    <w:rsid w:val="00272A47"/>
    <w:rsid w:val="0027344E"/>
    <w:rsid w:val="0027347E"/>
    <w:rsid w:val="00273E15"/>
    <w:rsid w:val="0027405C"/>
    <w:rsid w:val="00275167"/>
    <w:rsid w:val="002754DA"/>
    <w:rsid w:val="0027555D"/>
    <w:rsid w:val="00275DA9"/>
    <w:rsid w:val="0027641A"/>
    <w:rsid w:val="002766BB"/>
    <w:rsid w:val="00276B0B"/>
    <w:rsid w:val="00276B3E"/>
    <w:rsid w:val="00276E4C"/>
    <w:rsid w:val="00277412"/>
    <w:rsid w:val="0027773A"/>
    <w:rsid w:val="0027779A"/>
    <w:rsid w:val="00277D32"/>
    <w:rsid w:val="0028007F"/>
    <w:rsid w:val="0028036B"/>
    <w:rsid w:val="0028065E"/>
    <w:rsid w:val="0028083F"/>
    <w:rsid w:val="00280B8B"/>
    <w:rsid w:val="002814DB"/>
    <w:rsid w:val="00281867"/>
    <w:rsid w:val="00281E53"/>
    <w:rsid w:val="00281E88"/>
    <w:rsid w:val="00282D81"/>
    <w:rsid w:val="002834EF"/>
    <w:rsid w:val="00283884"/>
    <w:rsid w:val="00283B84"/>
    <w:rsid w:val="00284079"/>
    <w:rsid w:val="002847D1"/>
    <w:rsid w:val="00284B2F"/>
    <w:rsid w:val="00284D5F"/>
    <w:rsid w:val="00284E0C"/>
    <w:rsid w:val="00284FC1"/>
    <w:rsid w:val="00285467"/>
    <w:rsid w:val="002854D2"/>
    <w:rsid w:val="002858B2"/>
    <w:rsid w:val="00285B81"/>
    <w:rsid w:val="002861D7"/>
    <w:rsid w:val="00286AF8"/>
    <w:rsid w:val="00286F69"/>
    <w:rsid w:val="00287387"/>
    <w:rsid w:val="002875EE"/>
    <w:rsid w:val="0028771F"/>
    <w:rsid w:val="00287CE2"/>
    <w:rsid w:val="00290367"/>
    <w:rsid w:val="002903F0"/>
    <w:rsid w:val="00290609"/>
    <w:rsid w:val="0029076D"/>
    <w:rsid w:val="00290D20"/>
    <w:rsid w:val="00290D5F"/>
    <w:rsid w:val="00290DDC"/>
    <w:rsid w:val="00291150"/>
    <w:rsid w:val="0029118C"/>
    <w:rsid w:val="002918AB"/>
    <w:rsid w:val="00291980"/>
    <w:rsid w:val="00292113"/>
    <w:rsid w:val="002930BA"/>
    <w:rsid w:val="00294079"/>
    <w:rsid w:val="00294118"/>
    <w:rsid w:val="0029468A"/>
    <w:rsid w:val="00294936"/>
    <w:rsid w:val="00294BA0"/>
    <w:rsid w:val="00295470"/>
    <w:rsid w:val="002955B4"/>
    <w:rsid w:val="00295715"/>
    <w:rsid w:val="0029578C"/>
    <w:rsid w:val="00295A77"/>
    <w:rsid w:val="00295AE3"/>
    <w:rsid w:val="00296045"/>
    <w:rsid w:val="0029626E"/>
    <w:rsid w:val="0029677D"/>
    <w:rsid w:val="00296A1D"/>
    <w:rsid w:val="00296BFF"/>
    <w:rsid w:val="0029786F"/>
    <w:rsid w:val="00297B7A"/>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905"/>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67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A63"/>
    <w:rsid w:val="002C1B2B"/>
    <w:rsid w:val="002C1F8B"/>
    <w:rsid w:val="002C2060"/>
    <w:rsid w:val="002C2471"/>
    <w:rsid w:val="002C2A19"/>
    <w:rsid w:val="002C3375"/>
    <w:rsid w:val="002C3420"/>
    <w:rsid w:val="002C38FA"/>
    <w:rsid w:val="002C393F"/>
    <w:rsid w:val="002C3DC5"/>
    <w:rsid w:val="002C4305"/>
    <w:rsid w:val="002C43B8"/>
    <w:rsid w:val="002C4A4A"/>
    <w:rsid w:val="002C5385"/>
    <w:rsid w:val="002C5622"/>
    <w:rsid w:val="002C5BB9"/>
    <w:rsid w:val="002C5CC6"/>
    <w:rsid w:val="002C6069"/>
    <w:rsid w:val="002C6558"/>
    <w:rsid w:val="002C6AB3"/>
    <w:rsid w:val="002C6CBE"/>
    <w:rsid w:val="002C72A3"/>
    <w:rsid w:val="002C7412"/>
    <w:rsid w:val="002C776A"/>
    <w:rsid w:val="002C78DF"/>
    <w:rsid w:val="002D0517"/>
    <w:rsid w:val="002D07D9"/>
    <w:rsid w:val="002D0B89"/>
    <w:rsid w:val="002D14A5"/>
    <w:rsid w:val="002D1505"/>
    <w:rsid w:val="002D1866"/>
    <w:rsid w:val="002D1A6F"/>
    <w:rsid w:val="002D1AD2"/>
    <w:rsid w:val="002D2D76"/>
    <w:rsid w:val="002D325E"/>
    <w:rsid w:val="002D3665"/>
    <w:rsid w:val="002D368D"/>
    <w:rsid w:val="002D388C"/>
    <w:rsid w:val="002D392A"/>
    <w:rsid w:val="002D3C3E"/>
    <w:rsid w:val="002D3D6D"/>
    <w:rsid w:val="002D4180"/>
    <w:rsid w:val="002D418C"/>
    <w:rsid w:val="002D4466"/>
    <w:rsid w:val="002D44D5"/>
    <w:rsid w:val="002D46CC"/>
    <w:rsid w:val="002D46FC"/>
    <w:rsid w:val="002D54B0"/>
    <w:rsid w:val="002D5F2C"/>
    <w:rsid w:val="002D5F86"/>
    <w:rsid w:val="002D6A35"/>
    <w:rsid w:val="002D70BB"/>
    <w:rsid w:val="002D7309"/>
    <w:rsid w:val="002D739F"/>
    <w:rsid w:val="002D7FFD"/>
    <w:rsid w:val="002E0592"/>
    <w:rsid w:val="002E06A8"/>
    <w:rsid w:val="002E0E55"/>
    <w:rsid w:val="002E1589"/>
    <w:rsid w:val="002E2C92"/>
    <w:rsid w:val="002E43A0"/>
    <w:rsid w:val="002E482B"/>
    <w:rsid w:val="002E4903"/>
    <w:rsid w:val="002E5874"/>
    <w:rsid w:val="002E5F86"/>
    <w:rsid w:val="002E631C"/>
    <w:rsid w:val="002E6D0B"/>
    <w:rsid w:val="002E6D42"/>
    <w:rsid w:val="002E798A"/>
    <w:rsid w:val="002E7C97"/>
    <w:rsid w:val="002F0925"/>
    <w:rsid w:val="002F09D1"/>
    <w:rsid w:val="002F0A82"/>
    <w:rsid w:val="002F0C74"/>
    <w:rsid w:val="002F17CB"/>
    <w:rsid w:val="002F1A47"/>
    <w:rsid w:val="002F1A8D"/>
    <w:rsid w:val="002F1B1E"/>
    <w:rsid w:val="002F1E1B"/>
    <w:rsid w:val="002F2140"/>
    <w:rsid w:val="002F227C"/>
    <w:rsid w:val="002F234B"/>
    <w:rsid w:val="002F251B"/>
    <w:rsid w:val="002F2845"/>
    <w:rsid w:val="002F2B49"/>
    <w:rsid w:val="002F2F0C"/>
    <w:rsid w:val="002F316D"/>
    <w:rsid w:val="002F341A"/>
    <w:rsid w:val="002F3EF1"/>
    <w:rsid w:val="002F4418"/>
    <w:rsid w:val="002F45AE"/>
    <w:rsid w:val="002F45DC"/>
    <w:rsid w:val="002F46FC"/>
    <w:rsid w:val="002F585C"/>
    <w:rsid w:val="002F61AB"/>
    <w:rsid w:val="002F61D5"/>
    <w:rsid w:val="002F65DA"/>
    <w:rsid w:val="002F714D"/>
    <w:rsid w:val="002F77F9"/>
    <w:rsid w:val="00300428"/>
    <w:rsid w:val="00300534"/>
    <w:rsid w:val="00300A2F"/>
    <w:rsid w:val="00300ECF"/>
    <w:rsid w:val="00300FB4"/>
    <w:rsid w:val="00301524"/>
    <w:rsid w:val="003018CD"/>
    <w:rsid w:val="00302218"/>
    <w:rsid w:val="00302421"/>
    <w:rsid w:val="00302523"/>
    <w:rsid w:val="0030265C"/>
    <w:rsid w:val="003029BD"/>
    <w:rsid w:val="00302D99"/>
    <w:rsid w:val="0030310F"/>
    <w:rsid w:val="0030323A"/>
    <w:rsid w:val="00303978"/>
    <w:rsid w:val="00303D18"/>
    <w:rsid w:val="00303F2A"/>
    <w:rsid w:val="0030430C"/>
    <w:rsid w:val="00304ABA"/>
    <w:rsid w:val="00305072"/>
    <w:rsid w:val="00305188"/>
    <w:rsid w:val="00305482"/>
    <w:rsid w:val="00305AB5"/>
    <w:rsid w:val="00305BCE"/>
    <w:rsid w:val="00305D6C"/>
    <w:rsid w:val="00306018"/>
    <w:rsid w:val="003067F4"/>
    <w:rsid w:val="00306F3C"/>
    <w:rsid w:val="00306FC7"/>
    <w:rsid w:val="00306FF2"/>
    <w:rsid w:val="00307522"/>
    <w:rsid w:val="003078AD"/>
    <w:rsid w:val="0030797D"/>
    <w:rsid w:val="00307A85"/>
    <w:rsid w:val="00307D7D"/>
    <w:rsid w:val="00307E97"/>
    <w:rsid w:val="00307FD0"/>
    <w:rsid w:val="0031018A"/>
    <w:rsid w:val="00310357"/>
    <w:rsid w:val="00310A52"/>
    <w:rsid w:val="00310C53"/>
    <w:rsid w:val="003116E3"/>
    <w:rsid w:val="0031182B"/>
    <w:rsid w:val="00311B82"/>
    <w:rsid w:val="00311C8C"/>
    <w:rsid w:val="00311E19"/>
    <w:rsid w:val="003128B2"/>
    <w:rsid w:val="00312994"/>
    <w:rsid w:val="00312CD7"/>
    <w:rsid w:val="00312D3F"/>
    <w:rsid w:val="00312F82"/>
    <w:rsid w:val="00313278"/>
    <w:rsid w:val="003132AB"/>
    <w:rsid w:val="00313589"/>
    <w:rsid w:val="00313A78"/>
    <w:rsid w:val="00313B17"/>
    <w:rsid w:val="00313ED2"/>
    <w:rsid w:val="00313F1E"/>
    <w:rsid w:val="00313F47"/>
    <w:rsid w:val="00314227"/>
    <w:rsid w:val="0031447C"/>
    <w:rsid w:val="0031469F"/>
    <w:rsid w:val="00314F0A"/>
    <w:rsid w:val="00315048"/>
    <w:rsid w:val="00315151"/>
    <w:rsid w:val="00315399"/>
    <w:rsid w:val="0031565D"/>
    <w:rsid w:val="00315ACF"/>
    <w:rsid w:val="00315C01"/>
    <w:rsid w:val="00315CB1"/>
    <w:rsid w:val="00316977"/>
    <w:rsid w:val="00316CCF"/>
    <w:rsid w:val="003173AE"/>
    <w:rsid w:val="00317505"/>
    <w:rsid w:val="003178B3"/>
    <w:rsid w:val="00317A00"/>
    <w:rsid w:val="0032001B"/>
    <w:rsid w:val="00320382"/>
    <w:rsid w:val="00320A8E"/>
    <w:rsid w:val="00320B43"/>
    <w:rsid w:val="003212B8"/>
    <w:rsid w:val="003217B8"/>
    <w:rsid w:val="00322547"/>
    <w:rsid w:val="0032272B"/>
    <w:rsid w:val="00322EE5"/>
    <w:rsid w:val="00322F85"/>
    <w:rsid w:val="003230D0"/>
    <w:rsid w:val="003234A3"/>
    <w:rsid w:val="003237B8"/>
    <w:rsid w:val="00323907"/>
    <w:rsid w:val="003239E1"/>
    <w:rsid w:val="00323C96"/>
    <w:rsid w:val="0032507F"/>
    <w:rsid w:val="003260A6"/>
    <w:rsid w:val="00326129"/>
    <w:rsid w:val="003263AB"/>
    <w:rsid w:val="003263F6"/>
    <w:rsid w:val="00326496"/>
    <w:rsid w:val="003266F1"/>
    <w:rsid w:val="00326D33"/>
    <w:rsid w:val="00326E17"/>
    <w:rsid w:val="00327238"/>
    <w:rsid w:val="00327CAE"/>
    <w:rsid w:val="00327F04"/>
    <w:rsid w:val="00330186"/>
    <w:rsid w:val="003301AD"/>
    <w:rsid w:val="00330435"/>
    <w:rsid w:val="0033075F"/>
    <w:rsid w:val="003309F5"/>
    <w:rsid w:val="00330F8C"/>
    <w:rsid w:val="0033103C"/>
    <w:rsid w:val="003315CE"/>
    <w:rsid w:val="00331E83"/>
    <w:rsid w:val="00331F98"/>
    <w:rsid w:val="003320F6"/>
    <w:rsid w:val="00332530"/>
    <w:rsid w:val="0033315D"/>
    <w:rsid w:val="00333439"/>
    <w:rsid w:val="003339D7"/>
    <w:rsid w:val="00333B35"/>
    <w:rsid w:val="0033431A"/>
    <w:rsid w:val="00334D3D"/>
    <w:rsid w:val="00334EB9"/>
    <w:rsid w:val="00335121"/>
    <w:rsid w:val="00335223"/>
    <w:rsid w:val="00335827"/>
    <w:rsid w:val="00335AFE"/>
    <w:rsid w:val="0033613B"/>
    <w:rsid w:val="0033616B"/>
    <w:rsid w:val="00336406"/>
    <w:rsid w:val="00336601"/>
    <w:rsid w:val="00336D33"/>
    <w:rsid w:val="00336E10"/>
    <w:rsid w:val="00337560"/>
    <w:rsid w:val="003377CA"/>
    <w:rsid w:val="00337CDA"/>
    <w:rsid w:val="00337FC6"/>
    <w:rsid w:val="00340235"/>
    <w:rsid w:val="003404AD"/>
    <w:rsid w:val="00340554"/>
    <w:rsid w:val="00340A98"/>
    <w:rsid w:val="00340FCB"/>
    <w:rsid w:val="00341395"/>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437"/>
    <w:rsid w:val="00353187"/>
    <w:rsid w:val="003531B5"/>
    <w:rsid w:val="00353516"/>
    <w:rsid w:val="003535A1"/>
    <w:rsid w:val="00353614"/>
    <w:rsid w:val="00353783"/>
    <w:rsid w:val="00353929"/>
    <w:rsid w:val="00353CF3"/>
    <w:rsid w:val="00354D22"/>
    <w:rsid w:val="00355AF6"/>
    <w:rsid w:val="00355CA7"/>
    <w:rsid w:val="0035625F"/>
    <w:rsid w:val="003564A4"/>
    <w:rsid w:val="00356548"/>
    <w:rsid w:val="003567AE"/>
    <w:rsid w:val="0035697B"/>
    <w:rsid w:val="00356F93"/>
    <w:rsid w:val="003575A7"/>
    <w:rsid w:val="00357A3C"/>
    <w:rsid w:val="00357B3F"/>
    <w:rsid w:val="00357FD5"/>
    <w:rsid w:val="0036018D"/>
    <w:rsid w:val="003607B0"/>
    <w:rsid w:val="00360B0E"/>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2D13"/>
    <w:rsid w:val="003634DD"/>
    <w:rsid w:val="00363940"/>
    <w:rsid w:val="00363A1E"/>
    <w:rsid w:val="00363C34"/>
    <w:rsid w:val="003640A0"/>
    <w:rsid w:val="00364173"/>
    <w:rsid w:val="003644EF"/>
    <w:rsid w:val="00364646"/>
    <w:rsid w:val="003649DD"/>
    <w:rsid w:val="00364CC9"/>
    <w:rsid w:val="00365345"/>
    <w:rsid w:val="0036548D"/>
    <w:rsid w:val="003654AB"/>
    <w:rsid w:val="003654F8"/>
    <w:rsid w:val="00366ED5"/>
    <w:rsid w:val="00367244"/>
    <w:rsid w:val="00367D26"/>
    <w:rsid w:val="00367F51"/>
    <w:rsid w:val="0037021B"/>
    <w:rsid w:val="003706EC"/>
    <w:rsid w:val="00370CB6"/>
    <w:rsid w:val="00370DAF"/>
    <w:rsid w:val="00371216"/>
    <w:rsid w:val="00371BD4"/>
    <w:rsid w:val="003721D7"/>
    <w:rsid w:val="003723D6"/>
    <w:rsid w:val="0037263D"/>
    <w:rsid w:val="00372723"/>
    <w:rsid w:val="00372794"/>
    <w:rsid w:val="00372EC0"/>
    <w:rsid w:val="003731A0"/>
    <w:rsid w:val="00373500"/>
    <w:rsid w:val="003738F4"/>
    <w:rsid w:val="00373A7E"/>
    <w:rsid w:val="00373C9B"/>
    <w:rsid w:val="00373D93"/>
    <w:rsid w:val="0037413C"/>
    <w:rsid w:val="0037432C"/>
    <w:rsid w:val="00374597"/>
    <w:rsid w:val="003746E1"/>
    <w:rsid w:val="00374F3E"/>
    <w:rsid w:val="00375009"/>
    <w:rsid w:val="00375050"/>
    <w:rsid w:val="00375092"/>
    <w:rsid w:val="0037515C"/>
    <w:rsid w:val="0037527A"/>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8089D"/>
    <w:rsid w:val="003808AE"/>
    <w:rsid w:val="00380A36"/>
    <w:rsid w:val="00380B59"/>
    <w:rsid w:val="00380B6F"/>
    <w:rsid w:val="00380BC4"/>
    <w:rsid w:val="003812DC"/>
    <w:rsid w:val="003812E9"/>
    <w:rsid w:val="003812F9"/>
    <w:rsid w:val="003814BE"/>
    <w:rsid w:val="0038190D"/>
    <w:rsid w:val="00381CEC"/>
    <w:rsid w:val="00382029"/>
    <w:rsid w:val="003825DF"/>
    <w:rsid w:val="00382782"/>
    <w:rsid w:val="00382C8A"/>
    <w:rsid w:val="0038301D"/>
    <w:rsid w:val="003830AC"/>
    <w:rsid w:val="0038317C"/>
    <w:rsid w:val="003832AC"/>
    <w:rsid w:val="00383481"/>
    <w:rsid w:val="00383C5F"/>
    <w:rsid w:val="00384072"/>
    <w:rsid w:val="00384170"/>
    <w:rsid w:val="00384214"/>
    <w:rsid w:val="00384453"/>
    <w:rsid w:val="00384DC7"/>
    <w:rsid w:val="00385155"/>
    <w:rsid w:val="003852A3"/>
    <w:rsid w:val="00385332"/>
    <w:rsid w:val="003854C2"/>
    <w:rsid w:val="003855E1"/>
    <w:rsid w:val="00385678"/>
    <w:rsid w:val="00385DD0"/>
    <w:rsid w:val="003861F8"/>
    <w:rsid w:val="003864D8"/>
    <w:rsid w:val="003864F0"/>
    <w:rsid w:val="00386B1C"/>
    <w:rsid w:val="00386F9D"/>
    <w:rsid w:val="003870CF"/>
    <w:rsid w:val="00387142"/>
    <w:rsid w:val="003871F3"/>
    <w:rsid w:val="0038757B"/>
    <w:rsid w:val="0038773F"/>
    <w:rsid w:val="00387F1E"/>
    <w:rsid w:val="00390B38"/>
    <w:rsid w:val="00390D24"/>
    <w:rsid w:val="003920C6"/>
    <w:rsid w:val="003922FB"/>
    <w:rsid w:val="00392905"/>
    <w:rsid w:val="00392D0A"/>
    <w:rsid w:val="00393248"/>
    <w:rsid w:val="00393621"/>
    <w:rsid w:val="003938D4"/>
    <w:rsid w:val="003946EE"/>
    <w:rsid w:val="00394CF8"/>
    <w:rsid w:val="00394FD4"/>
    <w:rsid w:val="00395101"/>
    <w:rsid w:val="00395115"/>
    <w:rsid w:val="00395165"/>
    <w:rsid w:val="0039516D"/>
    <w:rsid w:val="00395330"/>
    <w:rsid w:val="00395405"/>
    <w:rsid w:val="003955C8"/>
    <w:rsid w:val="00395857"/>
    <w:rsid w:val="003963CD"/>
    <w:rsid w:val="00396B29"/>
    <w:rsid w:val="00397044"/>
    <w:rsid w:val="0039704D"/>
    <w:rsid w:val="00397109"/>
    <w:rsid w:val="00397872"/>
    <w:rsid w:val="00397D54"/>
    <w:rsid w:val="003A0441"/>
    <w:rsid w:val="003A05C9"/>
    <w:rsid w:val="003A0BDB"/>
    <w:rsid w:val="003A0C92"/>
    <w:rsid w:val="003A0CA2"/>
    <w:rsid w:val="003A0EED"/>
    <w:rsid w:val="003A1052"/>
    <w:rsid w:val="003A12EB"/>
    <w:rsid w:val="003A13C2"/>
    <w:rsid w:val="003A1590"/>
    <w:rsid w:val="003A190B"/>
    <w:rsid w:val="003A1AC5"/>
    <w:rsid w:val="003A1F79"/>
    <w:rsid w:val="003A209A"/>
    <w:rsid w:val="003A213C"/>
    <w:rsid w:val="003A2169"/>
    <w:rsid w:val="003A2463"/>
    <w:rsid w:val="003A2D89"/>
    <w:rsid w:val="003A322A"/>
    <w:rsid w:val="003A349A"/>
    <w:rsid w:val="003A4155"/>
    <w:rsid w:val="003A4311"/>
    <w:rsid w:val="003A47BC"/>
    <w:rsid w:val="003A4981"/>
    <w:rsid w:val="003A4A58"/>
    <w:rsid w:val="003A4D49"/>
    <w:rsid w:val="003A4E4C"/>
    <w:rsid w:val="003A4F75"/>
    <w:rsid w:val="003A51F0"/>
    <w:rsid w:val="003A526D"/>
    <w:rsid w:val="003A566A"/>
    <w:rsid w:val="003A5D87"/>
    <w:rsid w:val="003A5E2D"/>
    <w:rsid w:val="003A61E2"/>
    <w:rsid w:val="003A64A8"/>
    <w:rsid w:val="003A65C1"/>
    <w:rsid w:val="003A66FA"/>
    <w:rsid w:val="003A6DA7"/>
    <w:rsid w:val="003A7304"/>
    <w:rsid w:val="003A74F1"/>
    <w:rsid w:val="003A7A2C"/>
    <w:rsid w:val="003A7CC8"/>
    <w:rsid w:val="003A7E78"/>
    <w:rsid w:val="003B0735"/>
    <w:rsid w:val="003B0878"/>
    <w:rsid w:val="003B08D4"/>
    <w:rsid w:val="003B0BAB"/>
    <w:rsid w:val="003B0BDD"/>
    <w:rsid w:val="003B0E88"/>
    <w:rsid w:val="003B1155"/>
    <w:rsid w:val="003B1301"/>
    <w:rsid w:val="003B1BC5"/>
    <w:rsid w:val="003B21C8"/>
    <w:rsid w:val="003B2432"/>
    <w:rsid w:val="003B2DAA"/>
    <w:rsid w:val="003B35A7"/>
    <w:rsid w:val="003B3A67"/>
    <w:rsid w:val="003B5378"/>
    <w:rsid w:val="003B5BB3"/>
    <w:rsid w:val="003B5C48"/>
    <w:rsid w:val="003B5CFC"/>
    <w:rsid w:val="003B6062"/>
    <w:rsid w:val="003B6CFC"/>
    <w:rsid w:val="003B6F9A"/>
    <w:rsid w:val="003B734B"/>
    <w:rsid w:val="003B7560"/>
    <w:rsid w:val="003B75DA"/>
    <w:rsid w:val="003B7B85"/>
    <w:rsid w:val="003C014F"/>
    <w:rsid w:val="003C0BB3"/>
    <w:rsid w:val="003C0CAF"/>
    <w:rsid w:val="003C12C5"/>
    <w:rsid w:val="003C14E4"/>
    <w:rsid w:val="003C22D1"/>
    <w:rsid w:val="003C26C9"/>
    <w:rsid w:val="003C3157"/>
    <w:rsid w:val="003C34FD"/>
    <w:rsid w:val="003C35B3"/>
    <w:rsid w:val="003C46FD"/>
    <w:rsid w:val="003C49F1"/>
    <w:rsid w:val="003C4C01"/>
    <w:rsid w:val="003C4F89"/>
    <w:rsid w:val="003C54F4"/>
    <w:rsid w:val="003C55F8"/>
    <w:rsid w:val="003C5D4E"/>
    <w:rsid w:val="003C6268"/>
    <w:rsid w:val="003C67BC"/>
    <w:rsid w:val="003C68F5"/>
    <w:rsid w:val="003C69EB"/>
    <w:rsid w:val="003C6A09"/>
    <w:rsid w:val="003C73EE"/>
    <w:rsid w:val="003C7723"/>
    <w:rsid w:val="003C7AA5"/>
    <w:rsid w:val="003D05D2"/>
    <w:rsid w:val="003D1038"/>
    <w:rsid w:val="003D1152"/>
    <w:rsid w:val="003D1927"/>
    <w:rsid w:val="003D2485"/>
    <w:rsid w:val="003D3521"/>
    <w:rsid w:val="003D3817"/>
    <w:rsid w:val="003D4086"/>
    <w:rsid w:val="003D438A"/>
    <w:rsid w:val="003D4769"/>
    <w:rsid w:val="003D47E8"/>
    <w:rsid w:val="003D4950"/>
    <w:rsid w:val="003D4CF7"/>
    <w:rsid w:val="003D4F39"/>
    <w:rsid w:val="003D4F40"/>
    <w:rsid w:val="003D566C"/>
    <w:rsid w:val="003D5FD4"/>
    <w:rsid w:val="003D617D"/>
    <w:rsid w:val="003D663B"/>
    <w:rsid w:val="003D6ABC"/>
    <w:rsid w:val="003D712B"/>
    <w:rsid w:val="003D728A"/>
    <w:rsid w:val="003D7387"/>
    <w:rsid w:val="003E00BB"/>
    <w:rsid w:val="003E02EA"/>
    <w:rsid w:val="003E1493"/>
    <w:rsid w:val="003E2D05"/>
    <w:rsid w:val="003E2ED2"/>
    <w:rsid w:val="003E3057"/>
    <w:rsid w:val="003E32BF"/>
    <w:rsid w:val="003E344A"/>
    <w:rsid w:val="003E3826"/>
    <w:rsid w:val="003E3A68"/>
    <w:rsid w:val="003E4657"/>
    <w:rsid w:val="003E4695"/>
    <w:rsid w:val="003E481A"/>
    <w:rsid w:val="003E4E88"/>
    <w:rsid w:val="003E51C1"/>
    <w:rsid w:val="003E52A3"/>
    <w:rsid w:val="003E5581"/>
    <w:rsid w:val="003E55F8"/>
    <w:rsid w:val="003E5629"/>
    <w:rsid w:val="003E5EB1"/>
    <w:rsid w:val="003E6CC8"/>
    <w:rsid w:val="003E6FD3"/>
    <w:rsid w:val="003E72EE"/>
    <w:rsid w:val="003E7659"/>
    <w:rsid w:val="003E76EE"/>
    <w:rsid w:val="003E7A87"/>
    <w:rsid w:val="003E7E6A"/>
    <w:rsid w:val="003F00A9"/>
    <w:rsid w:val="003F08F8"/>
    <w:rsid w:val="003F1130"/>
    <w:rsid w:val="003F2140"/>
    <w:rsid w:val="003F2199"/>
    <w:rsid w:val="003F247F"/>
    <w:rsid w:val="003F285A"/>
    <w:rsid w:val="003F2A74"/>
    <w:rsid w:val="003F2AB9"/>
    <w:rsid w:val="003F2B04"/>
    <w:rsid w:val="003F398D"/>
    <w:rsid w:val="003F3A36"/>
    <w:rsid w:val="003F3B32"/>
    <w:rsid w:val="003F3E66"/>
    <w:rsid w:val="003F4643"/>
    <w:rsid w:val="003F5571"/>
    <w:rsid w:val="003F57FA"/>
    <w:rsid w:val="003F59F7"/>
    <w:rsid w:val="003F5B00"/>
    <w:rsid w:val="003F693C"/>
    <w:rsid w:val="003F7287"/>
    <w:rsid w:val="003F7BE6"/>
    <w:rsid w:val="00400FC6"/>
    <w:rsid w:val="00400FFC"/>
    <w:rsid w:val="0040159E"/>
    <w:rsid w:val="00401687"/>
    <w:rsid w:val="00401EF0"/>
    <w:rsid w:val="00402112"/>
    <w:rsid w:val="004028C2"/>
    <w:rsid w:val="0040294F"/>
    <w:rsid w:val="00402E43"/>
    <w:rsid w:val="0040310A"/>
    <w:rsid w:val="0040324D"/>
    <w:rsid w:val="00403461"/>
    <w:rsid w:val="004035D1"/>
    <w:rsid w:val="00403AD6"/>
    <w:rsid w:val="00403F04"/>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262"/>
    <w:rsid w:val="00411545"/>
    <w:rsid w:val="004117E2"/>
    <w:rsid w:val="0041186F"/>
    <w:rsid w:val="00411F57"/>
    <w:rsid w:val="004124FF"/>
    <w:rsid w:val="00412906"/>
    <w:rsid w:val="004131B3"/>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17734"/>
    <w:rsid w:val="0042099C"/>
    <w:rsid w:val="00420B0A"/>
    <w:rsid w:val="00420F3A"/>
    <w:rsid w:val="00421CB6"/>
    <w:rsid w:val="00422005"/>
    <w:rsid w:val="0042203F"/>
    <w:rsid w:val="00422077"/>
    <w:rsid w:val="0042232D"/>
    <w:rsid w:val="00422399"/>
    <w:rsid w:val="004224E0"/>
    <w:rsid w:val="00422981"/>
    <w:rsid w:val="00422994"/>
    <w:rsid w:val="00422E08"/>
    <w:rsid w:val="00422FE3"/>
    <w:rsid w:val="00423204"/>
    <w:rsid w:val="0042387C"/>
    <w:rsid w:val="00423FE2"/>
    <w:rsid w:val="00424070"/>
    <w:rsid w:val="0042408C"/>
    <w:rsid w:val="00425B8F"/>
    <w:rsid w:val="00425D71"/>
    <w:rsid w:val="00426093"/>
    <w:rsid w:val="00426109"/>
    <w:rsid w:val="0042627E"/>
    <w:rsid w:val="00426E5F"/>
    <w:rsid w:val="00426FCF"/>
    <w:rsid w:val="0042719A"/>
    <w:rsid w:val="0042777D"/>
    <w:rsid w:val="004279C0"/>
    <w:rsid w:val="00427AB6"/>
    <w:rsid w:val="00427BD9"/>
    <w:rsid w:val="004300ED"/>
    <w:rsid w:val="004301EA"/>
    <w:rsid w:val="004305D9"/>
    <w:rsid w:val="00430C58"/>
    <w:rsid w:val="00431426"/>
    <w:rsid w:val="00431562"/>
    <w:rsid w:val="00431B0C"/>
    <w:rsid w:val="00431C3A"/>
    <w:rsid w:val="00431F2D"/>
    <w:rsid w:val="004324EB"/>
    <w:rsid w:val="004326D9"/>
    <w:rsid w:val="0043339D"/>
    <w:rsid w:val="0043356A"/>
    <w:rsid w:val="00433B53"/>
    <w:rsid w:val="00433F90"/>
    <w:rsid w:val="00434A71"/>
    <w:rsid w:val="0043506F"/>
    <w:rsid w:val="0043517A"/>
    <w:rsid w:val="00435207"/>
    <w:rsid w:val="004354B8"/>
    <w:rsid w:val="00435F83"/>
    <w:rsid w:val="00435FE0"/>
    <w:rsid w:val="0043601B"/>
    <w:rsid w:val="0043624E"/>
    <w:rsid w:val="004365C7"/>
    <w:rsid w:val="00436630"/>
    <w:rsid w:val="004368EA"/>
    <w:rsid w:val="00436DB5"/>
    <w:rsid w:val="00436F1A"/>
    <w:rsid w:val="00437159"/>
    <w:rsid w:val="00437361"/>
    <w:rsid w:val="00437433"/>
    <w:rsid w:val="0043743A"/>
    <w:rsid w:val="0043789C"/>
    <w:rsid w:val="00437AAE"/>
    <w:rsid w:val="00437B53"/>
    <w:rsid w:val="004403F5"/>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8CF"/>
    <w:rsid w:val="004439FC"/>
    <w:rsid w:val="00443BB1"/>
    <w:rsid w:val="0044494F"/>
    <w:rsid w:val="00444D05"/>
    <w:rsid w:val="00445015"/>
    <w:rsid w:val="004452DC"/>
    <w:rsid w:val="004452F6"/>
    <w:rsid w:val="00445537"/>
    <w:rsid w:val="0044626E"/>
    <w:rsid w:val="004468A4"/>
    <w:rsid w:val="00446F3F"/>
    <w:rsid w:val="004477CD"/>
    <w:rsid w:val="004501F6"/>
    <w:rsid w:val="004502D7"/>
    <w:rsid w:val="00450495"/>
    <w:rsid w:val="00450D86"/>
    <w:rsid w:val="00451357"/>
    <w:rsid w:val="0045165F"/>
    <w:rsid w:val="004518E2"/>
    <w:rsid w:val="00451968"/>
    <w:rsid w:val="0045263F"/>
    <w:rsid w:val="00452A98"/>
    <w:rsid w:val="00452BDA"/>
    <w:rsid w:val="00453174"/>
    <w:rsid w:val="00453750"/>
    <w:rsid w:val="004537CF"/>
    <w:rsid w:val="004539FC"/>
    <w:rsid w:val="00453AE2"/>
    <w:rsid w:val="00453D69"/>
    <w:rsid w:val="0045428B"/>
    <w:rsid w:val="00454577"/>
    <w:rsid w:val="0045461E"/>
    <w:rsid w:val="004546E5"/>
    <w:rsid w:val="00454D4A"/>
    <w:rsid w:val="00455105"/>
    <w:rsid w:val="004551BC"/>
    <w:rsid w:val="004554B7"/>
    <w:rsid w:val="00455C94"/>
    <w:rsid w:val="004563D8"/>
    <w:rsid w:val="004566C4"/>
    <w:rsid w:val="00456792"/>
    <w:rsid w:val="00456A4F"/>
    <w:rsid w:val="00456D72"/>
    <w:rsid w:val="00456F48"/>
    <w:rsid w:val="004575AB"/>
    <w:rsid w:val="004575FB"/>
    <w:rsid w:val="0045762E"/>
    <w:rsid w:val="00457BA3"/>
    <w:rsid w:val="004600F8"/>
    <w:rsid w:val="00460B1A"/>
    <w:rsid w:val="00460B5A"/>
    <w:rsid w:val="00460C28"/>
    <w:rsid w:val="004610F2"/>
    <w:rsid w:val="004616E2"/>
    <w:rsid w:val="00461753"/>
    <w:rsid w:val="00461831"/>
    <w:rsid w:val="00461BC2"/>
    <w:rsid w:val="0046234D"/>
    <w:rsid w:val="004627EB"/>
    <w:rsid w:val="00462AF2"/>
    <w:rsid w:val="00462C24"/>
    <w:rsid w:val="00462EC7"/>
    <w:rsid w:val="00463827"/>
    <w:rsid w:val="004638DA"/>
    <w:rsid w:val="00463963"/>
    <w:rsid w:val="00463BE3"/>
    <w:rsid w:val="00463E45"/>
    <w:rsid w:val="00463F4A"/>
    <w:rsid w:val="0046406B"/>
    <w:rsid w:val="00464136"/>
    <w:rsid w:val="00464530"/>
    <w:rsid w:val="00464CC8"/>
    <w:rsid w:val="00464CF9"/>
    <w:rsid w:val="00464FA2"/>
    <w:rsid w:val="00465447"/>
    <w:rsid w:val="00465C06"/>
    <w:rsid w:val="00465E29"/>
    <w:rsid w:val="0046633C"/>
    <w:rsid w:val="0046700B"/>
    <w:rsid w:val="0046759F"/>
    <w:rsid w:val="0047048A"/>
    <w:rsid w:val="00470D03"/>
    <w:rsid w:val="00471917"/>
    <w:rsid w:val="00471A0B"/>
    <w:rsid w:val="00471E2D"/>
    <w:rsid w:val="00471F7A"/>
    <w:rsid w:val="00471FD5"/>
    <w:rsid w:val="004720F7"/>
    <w:rsid w:val="004726F9"/>
    <w:rsid w:val="00473053"/>
    <w:rsid w:val="00473730"/>
    <w:rsid w:val="00473A01"/>
    <w:rsid w:val="00473C2E"/>
    <w:rsid w:val="00474EE8"/>
    <w:rsid w:val="00474EF4"/>
    <w:rsid w:val="004753E7"/>
    <w:rsid w:val="0047560F"/>
    <w:rsid w:val="004762AB"/>
    <w:rsid w:val="00476482"/>
    <w:rsid w:val="00476842"/>
    <w:rsid w:val="00476B38"/>
    <w:rsid w:val="00476FF6"/>
    <w:rsid w:val="00477118"/>
    <w:rsid w:val="004772F0"/>
    <w:rsid w:val="0047765F"/>
    <w:rsid w:val="00477693"/>
    <w:rsid w:val="00477E83"/>
    <w:rsid w:val="00477FE3"/>
    <w:rsid w:val="004800BF"/>
    <w:rsid w:val="00480584"/>
    <w:rsid w:val="004819F0"/>
    <w:rsid w:val="004825B2"/>
    <w:rsid w:val="00482B81"/>
    <w:rsid w:val="00482F1E"/>
    <w:rsid w:val="00483252"/>
    <w:rsid w:val="00483577"/>
    <w:rsid w:val="004835E4"/>
    <w:rsid w:val="00484630"/>
    <w:rsid w:val="00484A89"/>
    <w:rsid w:val="00484FD7"/>
    <w:rsid w:val="004853E5"/>
    <w:rsid w:val="00486046"/>
    <w:rsid w:val="00486A9E"/>
    <w:rsid w:val="00487079"/>
    <w:rsid w:val="00487282"/>
    <w:rsid w:val="00487386"/>
    <w:rsid w:val="004875C4"/>
    <w:rsid w:val="00487BA4"/>
    <w:rsid w:val="00490111"/>
    <w:rsid w:val="0049099D"/>
    <w:rsid w:val="00490C06"/>
    <w:rsid w:val="00490E04"/>
    <w:rsid w:val="004913A8"/>
    <w:rsid w:val="00491985"/>
    <w:rsid w:val="00491AC6"/>
    <w:rsid w:val="00491DB8"/>
    <w:rsid w:val="0049201C"/>
    <w:rsid w:val="004921C7"/>
    <w:rsid w:val="00492367"/>
    <w:rsid w:val="00492C71"/>
    <w:rsid w:val="004932C7"/>
    <w:rsid w:val="004933D5"/>
    <w:rsid w:val="004935A9"/>
    <w:rsid w:val="004937DD"/>
    <w:rsid w:val="00493B57"/>
    <w:rsid w:val="00493EB7"/>
    <w:rsid w:val="0049405E"/>
    <w:rsid w:val="0049423B"/>
    <w:rsid w:val="00494655"/>
    <w:rsid w:val="00494AC5"/>
    <w:rsid w:val="00495118"/>
    <w:rsid w:val="00495917"/>
    <w:rsid w:val="004961F4"/>
    <w:rsid w:val="00496455"/>
    <w:rsid w:val="004965DB"/>
    <w:rsid w:val="00497076"/>
    <w:rsid w:val="00497481"/>
    <w:rsid w:val="0049780D"/>
    <w:rsid w:val="00497D63"/>
    <w:rsid w:val="004A00BC"/>
    <w:rsid w:val="004A0197"/>
    <w:rsid w:val="004A01A6"/>
    <w:rsid w:val="004A03D9"/>
    <w:rsid w:val="004A03FA"/>
    <w:rsid w:val="004A066C"/>
    <w:rsid w:val="004A0D7F"/>
    <w:rsid w:val="004A0DF4"/>
    <w:rsid w:val="004A0E57"/>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900"/>
    <w:rsid w:val="004A62A0"/>
    <w:rsid w:val="004A68EB"/>
    <w:rsid w:val="004A6F98"/>
    <w:rsid w:val="004A7749"/>
    <w:rsid w:val="004B030C"/>
    <w:rsid w:val="004B03E6"/>
    <w:rsid w:val="004B0E52"/>
    <w:rsid w:val="004B107F"/>
    <w:rsid w:val="004B1273"/>
    <w:rsid w:val="004B150C"/>
    <w:rsid w:val="004B1F2B"/>
    <w:rsid w:val="004B2A85"/>
    <w:rsid w:val="004B2AD8"/>
    <w:rsid w:val="004B2CFB"/>
    <w:rsid w:val="004B3166"/>
    <w:rsid w:val="004B33AB"/>
    <w:rsid w:val="004B356F"/>
    <w:rsid w:val="004B3644"/>
    <w:rsid w:val="004B378F"/>
    <w:rsid w:val="004B393A"/>
    <w:rsid w:val="004B3D05"/>
    <w:rsid w:val="004B3D84"/>
    <w:rsid w:val="004B469B"/>
    <w:rsid w:val="004B4CB2"/>
    <w:rsid w:val="004B4E44"/>
    <w:rsid w:val="004B4F68"/>
    <w:rsid w:val="004B506E"/>
    <w:rsid w:val="004B51ED"/>
    <w:rsid w:val="004B5447"/>
    <w:rsid w:val="004B5499"/>
    <w:rsid w:val="004B5611"/>
    <w:rsid w:val="004B5A5C"/>
    <w:rsid w:val="004B5C16"/>
    <w:rsid w:val="004B60C7"/>
    <w:rsid w:val="004B6281"/>
    <w:rsid w:val="004B727D"/>
    <w:rsid w:val="004B752D"/>
    <w:rsid w:val="004B75DA"/>
    <w:rsid w:val="004B7AE2"/>
    <w:rsid w:val="004B7B0D"/>
    <w:rsid w:val="004B7F10"/>
    <w:rsid w:val="004C03B8"/>
    <w:rsid w:val="004C08DF"/>
    <w:rsid w:val="004C0934"/>
    <w:rsid w:val="004C0A67"/>
    <w:rsid w:val="004C0D3B"/>
    <w:rsid w:val="004C12C3"/>
    <w:rsid w:val="004C1502"/>
    <w:rsid w:val="004C1671"/>
    <w:rsid w:val="004C17B7"/>
    <w:rsid w:val="004C1F0A"/>
    <w:rsid w:val="004C1FAB"/>
    <w:rsid w:val="004C231F"/>
    <w:rsid w:val="004C2550"/>
    <w:rsid w:val="004C26C9"/>
    <w:rsid w:val="004C27BC"/>
    <w:rsid w:val="004C2956"/>
    <w:rsid w:val="004C2967"/>
    <w:rsid w:val="004C2CCD"/>
    <w:rsid w:val="004C2E43"/>
    <w:rsid w:val="004C2EAB"/>
    <w:rsid w:val="004C2FEF"/>
    <w:rsid w:val="004C33B3"/>
    <w:rsid w:val="004C3873"/>
    <w:rsid w:val="004C3944"/>
    <w:rsid w:val="004C3E32"/>
    <w:rsid w:val="004C4172"/>
    <w:rsid w:val="004C4563"/>
    <w:rsid w:val="004C472C"/>
    <w:rsid w:val="004C472F"/>
    <w:rsid w:val="004C4B5E"/>
    <w:rsid w:val="004C4BA3"/>
    <w:rsid w:val="004C4BCE"/>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7A6"/>
    <w:rsid w:val="004D29AA"/>
    <w:rsid w:val="004D29FA"/>
    <w:rsid w:val="004D2CD8"/>
    <w:rsid w:val="004D3B51"/>
    <w:rsid w:val="004D437D"/>
    <w:rsid w:val="004D4AD6"/>
    <w:rsid w:val="004D4FD5"/>
    <w:rsid w:val="004D504E"/>
    <w:rsid w:val="004D53F2"/>
    <w:rsid w:val="004D5415"/>
    <w:rsid w:val="004D54A5"/>
    <w:rsid w:val="004D57BF"/>
    <w:rsid w:val="004D5C17"/>
    <w:rsid w:val="004D6538"/>
    <w:rsid w:val="004D7B14"/>
    <w:rsid w:val="004D7B25"/>
    <w:rsid w:val="004D7DC7"/>
    <w:rsid w:val="004E01AE"/>
    <w:rsid w:val="004E05A5"/>
    <w:rsid w:val="004E065F"/>
    <w:rsid w:val="004E0C62"/>
    <w:rsid w:val="004E0D92"/>
    <w:rsid w:val="004E181E"/>
    <w:rsid w:val="004E1855"/>
    <w:rsid w:val="004E22D5"/>
    <w:rsid w:val="004E295E"/>
    <w:rsid w:val="004E36E2"/>
    <w:rsid w:val="004E3C56"/>
    <w:rsid w:val="004E3FF2"/>
    <w:rsid w:val="004E5242"/>
    <w:rsid w:val="004E546A"/>
    <w:rsid w:val="004E5811"/>
    <w:rsid w:val="004E5D89"/>
    <w:rsid w:val="004E6043"/>
    <w:rsid w:val="004E6372"/>
    <w:rsid w:val="004E681F"/>
    <w:rsid w:val="004E6824"/>
    <w:rsid w:val="004E6DE1"/>
    <w:rsid w:val="004E7242"/>
    <w:rsid w:val="004E758D"/>
    <w:rsid w:val="004E7678"/>
    <w:rsid w:val="004E76D6"/>
    <w:rsid w:val="004E77DD"/>
    <w:rsid w:val="004E7886"/>
    <w:rsid w:val="004E7B1D"/>
    <w:rsid w:val="004F077B"/>
    <w:rsid w:val="004F0B77"/>
    <w:rsid w:val="004F0CC8"/>
    <w:rsid w:val="004F130D"/>
    <w:rsid w:val="004F13E0"/>
    <w:rsid w:val="004F1496"/>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0B4"/>
    <w:rsid w:val="004F573C"/>
    <w:rsid w:val="004F5779"/>
    <w:rsid w:val="004F5793"/>
    <w:rsid w:val="004F594E"/>
    <w:rsid w:val="004F5B03"/>
    <w:rsid w:val="004F611D"/>
    <w:rsid w:val="004F656F"/>
    <w:rsid w:val="004F677C"/>
    <w:rsid w:val="004F6FC4"/>
    <w:rsid w:val="004F6FF9"/>
    <w:rsid w:val="004F7666"/>
    <w:rsid w:val="004F77AF"/>
    <w:rsid w:val="004F7D4D"/>
    <w:rsid w:val="004F7F2F"/>
    <w:rsid w:val="00500252"/>
    <w:rsid w:val="005005C5"/>
    <w:rsid w:val="00500A8B"/>
    <w:rsid w:val="00500B57"/>
    <w:rsid w:val="005012D9"/>
    <w:rsid w:val="00501406"/>
    <w:rsid w:val="005015D7"/>
    <w:rsid w:val="0050170F"/>
    <w:rsid w:val="0050178F"/>
    <w:rsid w:val="00501B55"/>
    <w:rsid w:val="00501CB0"/>
    <w:rsid w:val="0050208A"/>
    <w:rsid w:val="00502193"/>
    <w:rsid w:val="005024EA"/>
    <w:rsid w:val="005026E9"/>
    <w:rsid w:val="00502A45"/>
    <w:rsid w:val="00502C62"/>
    <w:rsid w:val="00503063"/>
    <w:rsid w:val="0050319A"/>
    <w:rsid w:val="0050319C"/>
    <w:rsid w:val="0050321E"/>
    <w:rsid w:val="00504060"/>
    <w:rsid w:val="00504360"/>
    <w:rsid w:val="005045A1"/>
    <w:rsid w:val="00504FEF"/>
    <w:rsid w:val="00505CCD"/>
    <w:rsid w:val="00505DA9"/>
    <w:rsid w:val="00505E6E"/>
    <w:rsid w:val="005061F3"/>
    <w:rsid w:val="005069D8"/>
    <w:rsid w:val="00506A78"/>
    <w:rsid w:val="00506C7D"/>
    <w:rsid w:val="005074F1"/>
    <w:rsid w:val="005075BA"/>
    <w:rsid w:val="00507C88"/>
    <w:rsid w:val="005101DB"/>
    <w:rsid w:val="00510575"/>
    <w:rsid w:val="00510A35"/>
    <w:rsid w:val="005113D4"/>
    <w:rsid w:val="0051147C"/>
    <w:rsid w:val="0051153C"/>
    <w:rsid w:val="00511C47"/>
    <w:rsid w:val="00511FFE"/>
    <w:rsid w:val="00512D11"/>
    <w:rsid w:val="00512F1D"/>
    <w:rsid w:val="00512FEE"/>
    <w:rsid w:val="005132AA"/>
    <w:rsid w:val="0051363A"/>
    <w:rsid w:val="00513892"/>
    <w:rsid w:val="00513D37"/>
    <w:rsid w:val="00513DBC"/>
    <w:rsid w:val="00513F90"/>
    <w:rsid w:val="0051439D"/>
    <w:rsid w:val="00514664"/>
    <w:rsid w:val="00514FBA"/>
    <w:rsid w:val="0051544B"/>
    <w:rsid w:val="00515519"/>
    <w:rsid w:val="00515646"/>
    <w:rsid w:val="00515AA5"/>
    <w:rsid w:val="00515D51"/>
    <w:rsid w:val="0051668F"/>
    <w:rsid w:val="005166EE"/>
    <w:rsid w:val="00517571"/>
    <w:rsid w:val="00517687"/>
    <w:rsid w:val="005178AE"/>
    <w:rsid w:val="00517CBA"/>
    <w:rsid w:val="005206C1"/>
    <w:rsid w:val="00520A84"/>
    <w:rsid w:val="00520FB6"/>
    <w:rsid w:val="00521269"/>
    <w:rsid w:val="0052139F"/>
    <w:rsid w:val="00521442"/>
    <w:rsid w:val="00521997"/>
    <w:rsid w:val="00521C01"/>
    <w:rsid w:val="00521D6D"/>
    <w:rsid w:val="00521D87"/>
    <w:rsid w:val="005221B8"/>
    <w:rsid w:val="00522680"/>
    <w:rsid w:val="005227C3"/>
    <w:rsid w:val="00522CB7"/>
    <w:rsid w:val="005230F3"/>
    <w:rsid w:val="00523400"/>
    <w:rsid w:val="005237AF"/>
    <w:rsid w:val="005239A5"/>
    <w:rsid w:val="00523ECD"/>
    <w:rsid w:val="00524397"/>
    <w:rsid w:val="005244CC"/>
    <w:rsid w:val="00524646"/>
    <w:rsid w:val="00524852"/>
    <w:rsid w:val="00524B6F"/>
    <w:rsid w:val="005254B5"/>
    <w:rsid w:val="00525765"/>
    <w:rsid w:val="00525945"/>
    <w:rsid w:val="00525C10"/>
    <w:rsid w:val="00526B3A"/>
    <w:rsid w:val="00526FFE"/>
    <w:rsid w:val="0052705D"/>
    <w:rsid w:val="0052708F"/>
    <w:rsid w:val="005270BF"/>
    <w:rsid w:val="00527F8F"/>
    <w:rsid w:val="005304CB"/>
    <w:rsid w:val="00530D34"/>
    <w:rsid w:val="00531508"/>
    <w:rsid w:val="0053197B"/>
    <w:rsid w:val="00531A84"/>
    <w:rsid w:val="00531C94"/>
    <w:rsid w:val="00531F23"/>
    <w:rsid w:val="00532818"/>
    <w:rsid w:val="00534239"/>
    <w:rsid w:val="005345D8"/>
    <w:rsid w:val="005349B4"/>
    <w:rsid w:val="005349D6"/>
    <w:rsid w:val="005349F6"/>
    <w:rsid w:val="00534A63"/>
    <w:rsid w:val="00534CF9"/>
    <w:rsid w:val="00535437"/>
    <w:rsid w:val="005354B8"/>
    <w:rsid w:val="005357C7"/>
    <w:rsid w:val="005359D7"/>
    <w:rsid w:val="00535AA5"/>
    <w:rsid w:val="00536023"/>
    <w:rsid w:val="00536914"/>
    <w:rsid w:val="00536EE0"/>
    <w:rsid w:val="00536FD4"/>
    <w:rsid w:val="0053727B"/>
    <w:rsid w:val="005377E0"/>
    <w:rsid w:val="0053795B"/>
    <w:rsid w:val="00537CF2"/>
    <w:rsid w:val="00537E38"/>
    <w:rsid w:val="00537F5F"/>
    <w:rsid w:val="005402E6"/>
    <w:rsid w:val="005402F0"/>
    <w:rsid w:val="00540428"/>
    <w:rsid w:val="0054048B"/>
    <w:rsid w:val="0054060C"/>
    <w:rsid w:val="00540AAE"/>
    <w:rsid w:val="00540AE8"/>
    <w:rsid w:val="00540B00"/>
    <w:rsid w:val="00540C10"/>
    <w:rsid w:val="00540DA5"/>
    <w:rsid w:val="00540E6F"/>
    <w:rsid w:val="00540F84"/>
    <w:rsid w:val="00541844"/>
    <w:rsid w:val="00541851"/>
    <w:rsid w:val="00541A81"/>
    <w:rsid w:val="00541CE6"/>
    <w:rsid w:val="00541D19"/>
    <w:rsid w:val="00541D2B"/>
    <w:rsid w:val="00541DE4"/>
    <w:rsid w:val="00542012"/>
    <w:rsid w:val="005425F9"/>
    <w:rsid w:val="00542E96"/>
    <w:rsid w:val="00542F32"/>
    <w:rsid w:val="005430F9"/>
    <w:rsid w:val="00543741"/>
    <w:rsid w:val="00543785"/>
    <w:rsid w:val="00543D62"/>
    <w:rsid w:val="0054409E"/>
    <w:rsid w:val="00544584"/>
    <w:rsid w:val="0054482D"/>
    <w:rsid w:val="00544AE8"/>
    <w:rsid w:val="00544CD3"/>
    <w:rsid w:val="00544EBA"/>
    <w:rsid w:val="005450D1"/>
    <w:rsid w:val="00545175"/>
    <w:rsid w:val="005455AC"/>
    <w:rsid w:val="00545614"/>
    <w:rsid w:val="00546459"/>
    <w:rsid w:val="00546699"/>
    <w:rsid w:val="00546E18"/>
    <w:rsid w:val="00547060"/>
    <w:rsid w:val="00547874"/>
    <w:rsid w:val="005502DC"/>
    <w:rsid w:val="0055049C"/>
    <w:rsid w:val="00550B17"/>
    <w:rsid w:val="00550B24"/>
    <w:rsid w:val="005514C9"/>
    <w:rsid w:val="00551928"/>
    <w:rsid w:val="005521AB"/>
    <w:rsid w:val="005522EE"/>
    <w:rsid w:val="0055281E"/>
    <w:rsid w:val="00552A2E"/>
    <w:rsid w:val="00552AA7"/>
    <w:rsid w:val="00552AD3"/>
    <w:rsid w:val="00552CA5"/>
    <w:rsid w:val="00552D08"/>
    <w:rsid w:val="00552D49"/>
    <w:rsid w:val="00552F3D"/>
    <w:rsid w:val="00553792"/>
    <w:rsid w:val="00553824"/>
    <w:rsid w:val="00553A1A"/>
    <w:rsid w:val="00553D3E"/>
    <w:rsid w:val="00553DFA"/>
    <w:rsid w:val="00553E64"/>
    <w:rsid w:val="005541B5"/>
    <w:rsid w:val="005542C7"/>
    <w:rsid w:val="0055432C"/>
    <w:rsid w:val="005550B3"/>
    <w:rsid w:val="005554AD"/>
    <w:rsid w:val="00555A5B"/>
    <w:rsid w:val="00556494"/>
    <w:rsid w:val="005568E0"/>
    <w:rsid w:val="00556C2E"/>
    <w:rsid w:val="00556D79"/>
    <w:rsid w:val="00556E5F"/>
    <w:rsid w:val="0055711A"/>
    <w:rsid w:val="005574F0"/>
    <w:rsid w:val="005575CD"/>
    <w:rsid w:val="00557DBC"/>
    <w:rsid w:val="00557E7C"/>
    <w:rsid w:val="00560263"/>
    <w:rsid w:val="00560669"/>
    <w:rsid w:val="005606FD"/>
    <w:rsid w:val="00560946"/>
    <w:rsid w:val="00560C3D"/>
    <w:rsid w:val="00561373"/>
    <w:rsid w:val="00561A59"/>
    <w:rsid w:val="00561CDA"/>
    <w:rsid w:val="00561ED1"/>
    <w:rsid w:val="00562C03"/>
    <w:rsid w:val="00562EB9"/>
    <w:rsid w:val="005636F0"/>
    <w:rsid w:val="00563D96"/>
    <w:rsid w:val="00563F1D"/>
    <w:rsid w:val="00564225"/>
    <w:rsid w:val="00565916"/>
    <w:rsid w:val="00565E1D"/>
    <w:rsid w:val="00565E62"/>
    <w:rsid w:val="00566092"/>
    <w:rsid w:val="005666C9"/>
    <w:rsid w:val="00566A29"/>
    <w:rsid w:val="00566B55"/>
    <w:rsid w:val="00566E3F"/>
    <w:rsid w:val="00566FA5"/>
    <w:rsid w:val="00566FC3"/>
    <w:rsid w:val="0056753C"/>
    <w:rsid w:val="00567A81"/>
    <w:rsid w:val="005700CD"/>
    <w:rsid w:val="00570B24"/>
    <w:rsid w:val="00570E24"/>
    <w:rsid w:val="00570E47"/>
    <w:rsid w:val="00570F1C"/>
    <w:rsid w:val="0057140E"/>
    <w:rsid w:val="00571DBF"/>
    <w:rsid w:val="005721C6"/>
    <w:rsid w:val="005725B7"/>
    <w:rsid w:val="00572BF5"/>
    <w:rsid w:val="005730FF"/>
    <w:rsid w:val="0057332C"/>
    <w:rsid w:val="00573F98"/>
    <w:rsid w:val="00574003"/>
    <w:rsid w:val="00574063"/>
    <w:rsid w:val="005742D6"/>
    <w:rsid w:val="0057445B"/>
    <w:rsid w:val="00574495"/>
    <w:rsid w:val="00574903"/>
    <w:rsid w:val="00574BB5"/>
    <w:rsid w:val="00574EFF"/>
    <w:rsid w:val="00574FB2"/>
    <w:rsid w:val="0057558D"/>
    <w:rsid w:val="00575A52"/>
    <w:rsid w:val="00575CFD"/>
    <w:rsid w:val="00575D2D"/>
    <w:rsid w:val="00575FE4"/>
    <w:rsid w:val="005767D8"/>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42A"/>
    <w:rsid w:val="0058357D"/>
    <w:rsid w:val="00583736"/>
    <w:rsid w:val="00583C7B"/>
    <w:rsid w:val="00583F80"/>
    <w:rsid w:val="005842F9"/>
    <w:rsid w:val="00584313"/>
    <w:rsid w:val="00584A61"/>
    <w:rsid w:val="00584AB1"/>
    <w:rsid w:val="00585590"/>
    <w:rsid w:val="00585707"/>
    <w:rsid w:val="00585988"/>
    <w:rsid w:val="00586098"/>
    <w:rsid w:val="00586233"/>
    <w:rsid w:val="005864FA"/>
    <w:rsid w:val="00586509"/>
    <w:rsid w:val="00586639"/>
    <w:rsid w:val="0058687A"/>
    <w:rsid w:val="00586ED4"/>
    <w:rsid w:val="00587047"/>
    <w:rsid w:val="0058707A"/>
    <w:rsid w:val="005870BE"/>
    <w:rsid w:val="005875E0"/>
    <w:rsid w:val="00587996"/>
    <w:rsid w:val="00587A57"/>
    <w:rsid w:val="005901B1"/>
    <w:rsid w:val="005903A0"/>
    <w:rsid w:val="00590461"/>
    <w:rsid w:val="0059090F"/>
    <w:rsid w:val="00590E7C"/>
    <w:rsid w:val="0059119E"/>
    <w:rsid w:val="00591303"/>
    <w:rsid w:val="00591C01"/>
    <w:rsid w:val="00592940"/>
    <w:rsid w:val="00592C26"/>
    <w:rsid w:val="00592CB1"/>
    <w:rsid w:val="00593AF9"/>
    <w:rsid w:val="00594396"/>
    <w:rsid w:val="0059463B"/>
    <w:rsid w:val="00594B07"/>
    <w:rsid w:val="00594C15"/>
    <w:rsid w:val="00594D65"/>
    <w:rsid w:val="005951B3"/>
    <w:rsid w:val="005960C9"/>
    <w:rsid w:val="00596956"/>
    <w:rsid w:val="00596AB8"/>
    <w:rsid w:val="00596D40"/>
    <w:rsid w:val="005970DC"/>
    <w:rsid w:val="00597266"/>
    <w:rsid w:val="00597280"/>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1E71"/>
    <w:rsid w:val="005A2097"/>
    <w:rsid w:val="005A23F7"/>
    <w:rsid w:val="005A2A95"/>
    <w:rsid w:val="005A2B02"/>
    <w:rsid w:val="005A2C06"/>
    <w:rsid w:val="005A337F"/>
    <w:rsid w:val="005A3BD2"/>
    <w:rsid w:val="005A444D"/>
    <w:rsid w:val="005A4AAA"/>
    <w:rsid w:val="005A4C3E"/>
    <w:rsid w:val="005A581E"/>
    <w:rsid w:val="005A5AF0"/>
    <w:rsid w:val="005A5B91"/>
    <w:rsid w:val="005A5FE1"/>
    <w:rsid w:val="005A61B9"/>
    <w:rsid w:val="005A677E"/>
    <w:rsid w:val="005A697C"/>
    <w:rsid w:val="005A7091"/>
    <w:rsid w:val="005A70EE"/>
    <w:rsid w:val="005A7421"/>
    <w:rsid w:val="005A7C6E"/>
    <w:rsid w:val="005B083D"/>
    <w:rsid w:val="005B0C78"/>
    <w:rsid w:val="005B176E"/>
    <w:rsid w:val="005B18BF"/>
    <w:rsid w:val="005B235D"/>
    <w:rsid w:val="005B2515"/>
    <w:rsid w:val="005B2866"/>
    <w:rsid w:val="005B2A14"/>
    <w:rsid w:val="005B2D34"/>
    <w:rsid w:val="005B2EF2"/>
    <w:rsid w:val="005B3146"/>
    <w:rsid w:val="005B31C4"/>
    <w:rsid w:val="005B325E"/>
    <w:rsid w:val="005B3370"/>
    <w:rsid w:val="005B3490"/>
    <w:rsid w:val="005B3B82"/>
    <w:rsid w:val="005B3BE8"/>
    <w:rsid w:val="005B3C78"/>
    <w:rsid w:val="005B3E1E"/>
    <w:rsid w:val="005B406E"/>
    <w:rsid w:val="005B46CB"/>
    <w:rsid w:val="005B4B7F"/>
    <w:rsid w:val="005B4C69"/>
    <w:rsid w:val="005B51B8"/>
    <w:rsid w:val="005B549A"/>
    <w:rsid w:val="005B6099"/>
    <w:rsid w:val="005B60AA"/>
    <w:rsid w:val="005B694D"/>
    <w:rsid w:val="005B6DD2"/>
    <w:rsid w:val="005B776C"/>
    <w:rsid w:val="005B77A0"/>
    <w:rsid w:val="005B7BD7"/>
    <w:rsid w:val="005B7D2C"/>
    <w:rsid w:val="005B7EE3"/>
    <w:rsid w:val="005B7F18"/>
    <w:rsid w:val="005C0023"/>
    <w:rsid w:val="005C0488"/>
    <w:rsid w:val="005C0E08"/>
    <w:rsid w:val="005C1C73"/>
    <w:rsid w:val="005C2767"/>
    <w:rsid w:val="005C2938"/>
    <w:rsid w:val="005C343E"/>
    <w:rsid w:val="005C384E"/>
    <w:rsid w:val="005C3C17"/>
    <w:rsid w:val="005C3DFA"/>
    <w:rsid w:val="005C4013"/>
    <w:rsid w:val="005C4540"/>
    <w:rsid w:val="005C4660"/>
    <w:rsid w:val="005C4C4E"/>
    <w:rsid w:val="005C519E"/>
    <w:rsid w:val="005C53A5"/>
    <w:rsid w:val="005C5519"/>
    <w:rsid w:val="005C5592"/>
    <w:rsid w:val="005C569F"/>
    <w:rsid w:val="005C58BD"/>
    <w:rsid w:val="005C5AB3"/>
    <w:rsid w:val="005C5CB7"/>
    <w:rsid w:val="005C6450"/>
    <w:rsid w:val="005C64D2"/>
    <w:rsid w:val="005C6679"/>
    <w:rsid w:val="005C6AB4"/>
    <w:rsid w:val="005C6B8D"/>
    <w:rsid w:val="005C73B4"/>
    <w:rsid w:val="005C7563"/>
    <w:rsid w:val="005C7763"/>
    <w:rsid w:val="005C7A22"/>
    <w:rsid w:val="005C7BF3"/>
    <w:rsid w:val="005C7CB4"/>
    <w:rsid w:val="005D0959"/>
    <w:rsid w:val="005D0E33"/>
    <w:rsid w:val="005D1D8E"/>
    <w:rsid w:val="005D1FF0"/>
    <w:rsid w:val="005D2569"/>
    <w:rsid w:val="005D2900"/>
    <w:rsid w:val="005D2C43"/>
    <w:rsid w:val="005D2CE0"/>
    <w:rsid w:val="005D2D7A"/>
    <w:rsid w:val="005D3398"/>
    <w:rsid w:val="005D3ACB"/>
    <w:rsid w:val="005D3B22"/>
    <w:rsid w:val="005D3CA1"/>
    <w:rsid w:val="005D3DA6"/>
    <w:rsid w:val="005D3FBC"/>
    <w:rsid w:val="005D40C0"/>
    <w:rsid w:val="005D40D2"/>
    <w:rsid w:val="005D449A"/>
    <w:rsid w:val="005D4811"/>
    <w:rsid w:val="005D499B"/>
    <w:rsid w:val="005D4E51"/>
    <w:rsid w:val="005D529E"/>
    <w:rsid w:val="005D5691"/>
    <w:rsid w:val="005D571B"/>
    <w:rsid w:val="005D5EE9"/>
    <w:rsid w:val="005D6492"/>
    <w:rsid w:val="005D66A4"/>
    <w:rsid w:val="005D6B25"/>
    <w:rsid w:val="005D7189"/>
    <w:rsid w:val="005D782A"/>
    <w:rsid w:val="005E0755"/>
    <w:rsid w:val="005E0823"/>
    <w:rsid w:val="005E0F1F"/>
    <w:rsid w:val="005E0F43"/>
    <w:rsid w:val="005E135B"/>
    <w:rsid w:val="005E1BB1"/>
    <w:rsid w:val="005E1F24"/>
    <w:rsid w:val="005E205B"/>
    <w:rsid w:val="005E293D"/>
    <w:rsid w:val="005E2E3C"/>
    <w:rsid w:val="005E3716"/>
    <w:rsid w:val="005E3FF5"/>
    <w:rsid w:val="005E4215"/>
    <w:rsid w:val="005E44FB"/>
    <w:rsid w:val="005E4625"/>
    <w:rsid w:val="005E48A5"/>
    <w:rsid w:val="005E4BD6"/>
    <w:rsid w:val="005E4FA2"/>
    <w:rsid w:val="005E5576"/>
    <w:rsid w:val="005E58CC"/>
    <w:rsid w:val="005E6242"/>
    <w:rsid w:val="005E677D"/>
    <w:rsid w:val="005E7240"/>
    <w:rsid w:val="005E72A2"/>
    <w:rsid w:val="005E736A"/>
    <w:rsid w:val="005E78A8"/>
    <w:rsid w:val="005E7BB1"/>
    <w:rsid w:val="005E7C1C"/>
    <w:rsid w:val="005F026E"/>
    <w:rsid w:val="005F028F"/>
    <w:rsid w:val="005F0340"/>
    <w:rsid w:val="005F054A"/>
    <w:rsid w:val="005F0696"/>
    <w:rsid w:val="005F0BB0"/>
    <w:rsid w:val="005F0CE3"/>
    <w:rsid w:val="005F0DA9"/>
    <w:rsid w:val="005F0F47"/>
    <w:rsid w:val="005F1632"/>
    <w:rsid w:val="005F199C"/>
    <w:rsid w:val="005F2709"/>
    <w:rsid w:val="005F2B52"/>
    <w:rsid w:val="005F3095"/>
    <w:rsid w:val="005F39B1"/>
    <w:rsid w:val="005F3AEE"/>
    <w:rsid w:val="005F3C78"/>
    <w:rsid w:val="005F4A08"/>
    <w:rsid w:val="005F4E34"/>
    <w:rsid w:val="005F524F"/>
    <w:rsid w:val="005F6029"/>
    <w:rsid w:val="005F60E7"/>
    <w:rsid w:val="005F6717"/>
    <w:rsid w:val="005F6A3B"/>
    <w:rsid w:val="005F7732"/>
    <w:rsid w:val="0060018E"/>
    <w:rsid w:val="006006A0"/>
    <w:rsid w:val="006007BB"/>
    <w:rsid w:val="00600903"/>
    <w:rsid w:val="00600C64"/>
    <w:rsid w:val="00600C74"/>
    <w:rsid w:val="00600F73"/>
    <w:rsid w:val="00600F81"/>
    <w:rsid w:val="0060131A"/>
    <w:rsid w:val="00601402"/>
    <w:rsid w:val="006016CA"/>
    <w:rsid w:val="00601E05"/>
    <w:rsid w:val="00601F82"/>
    <w:rsid w:val="0060270F"/>
    <w:rsid w:val="00602726"/>
    <w:rsid w:val="00602F14"/>
    <w:rsid w:val="00603D3E"/>
    <w:rsid w:val="006040C8"/>
    <w:rsid w:val="006042B5"/>
    <w:rsid w:val="0060430E"/>
    <w:rsid w:val="00604523"/>
    <w:rsid w:val="006046E6"/>
    <w:rsid w:val="00604916"/>
    <w:rsid w:val="00604973"/>
    <w:rsid w:val="006049AC"/>
    <w:rsid w:val="00604DEA"/>
    <w:rsid w:val="00604E30"/>
    <w:rsid w:val="006052D6"/>
    <w:rsid w:val="00605366"/>
    <w:rsid w:val="006061E5"/>
    <w:rsid w:val="006061F2"/>
    <w:rsid w:val="006063BA"/>
    <w:rsid w:val="00606867"/>
    <w:rsid w:val="0060721D"/>
    <w:rsid w:val="0060754E"/>
    <w:rsid w:val="00607836"/>
    <w:rsid w:val="00610438"/>
    <w:rsid w:val="0061099C"/>
    <w:rsid w:val="00611B56"/>
    <w:rsid w:val="0061201C"/>
    <w:rsid w:val="00612964"/>
    <w:rsid w:val="0061338C"/>
    <w:rsid w:val="0061339E"/>
    <w:rsid w:val="00613531"/>
    <w:rsid w:val="006136E7"/>
    <w:rsid w:val="00613A0F"/>
    <w:rsid w:val="00613BA9"/>
    <w:rsid w:val="00613F63"/>
    <w:rsid w:val="00614265"/>
    <w:rsid w:val="00614372"/>
    <w:rsid w:val="006144D8"/>
    <w:rsid w:val="0061494F"/>
    <w:rsid w:val="00615002"/>
    <w:rsid w:val="00615EBF"/>
    <w:rsid w:val="0061696E"/>
    <w:rsid w:val="00616A99"/>
    <w:rsid w:val="00617147"/>
    <w:rsid w:val="00617A02"/>
    <w:rsid w:val="00617A14"/>
    <w:rsid w:val="00617BD0"/>
    <w:rsid w:val="006204D9"/>
    <w:rsid w:val="00620C13"/>
    <w:rsid w:val="00620C1C"/>
    <w:rsid w:val="00620C25"/>
    <w:rsid w:val="00620DA8"/>
    <w:rsid w:val="006213A0"/>
    <w:rsid w:val="0062166B"/>
    <w:rsid w:val="0062193A"/>
    <w:rsid w:val="00621C65"/>
    <w:rsid w:val="00622201"/>
    <w:rsid w:val="006223DB"/>
    <w:rsid w:val="006229E7"/>
    <w:rsid w:val="00622CAF"/>
    <w:rsid w:val="00623588"/>
    <w:rsid w:val="00623BAA"/>
    <w:rsid w:val="00623BBC"/>
    <w:rsid w:val="00623F83"/>
    <w:rsid w:val="006248E4"/>
    <w:rsid w:val="00624F68"/>
    <w:rsid w:val="00625040"/>
    <w:rsid w:val="006263E0"/>
    <w:rsid w:val="00627042"/>
    <w:rsid w:val="006273C4"/>
    <w:rsid w:val="00627702"/>
    <w:rsid w:val="00627D5C"/>
    <w:rsid w:val="00627D77"/>
    <w:rsid w:val="00630249"/>
    <w:rsid w:val="006302F0"/>
    <w:rsid w:val="00630482"/>
    <w:rsid w:val="0063075A"/>
    <w:rsid w:val="00630CAF"/>
    <w:rsid w:val="00631A32"/>
    <w:rsid w:val="00631E57"/>
    <w:rsid w:val="00632A67"/>
    <w:rsid w:val="00632D1B"/>
    <w:rsid w:val="006332F7"/>
    <w:rsid w:val="00633C06"/>
    <w:rsid w:val="00633C82"/>
    <w:rsid w:val="0063439B"/>
    <w:rsid w:val="0063503E"/>
    <w:rsid w:val="006350EE"/>
    <w:rsid w:val="006352E4"/>
    <w:rsid w:val="00635446"/>
    <w:rsid w:val="00635774"/>
    <w:rsid w:val="00635BA4"/>
    <w:rsid w:val="00635CFC"/>
    <w:rsid w:val="006362B6"/>
    <w:rsid w:val="00636612"/>
    <w:rsid w:val="00637572"/>
    <w:rsid w:val="0063793E"/>
    <w:rsid w:val="00637D77"/>
    <w:rsid w:val="00641078"/>
    <w:rsid w:val="0064128F"/>
    <w:rsid w:val="00641417"/>
    <w:rsid w:val="0064182B"/>
    <w:rsid w:val="00641AA7"/>
    <w:rsid w:val="00641BFE"/>
    <w:rsid w:val="00641D7F"/>
    <w:rsid w:val="00641E64"/>
    <w:rsid w:val="00642C6B"/>
    <w:rsid w:val="00642E9A"/>
    <w:rsid w:val="00643692"/>
    <w:rsid w:val="00643907"/>
    <w:rsid w:val="00643B87"/>
    <w:rsid w:val="00643C8B"/>
    <w:rsid w:val="00643D13"/>
    <w:rsid w:val="006449EC"/>
    <w:rsid w:val="00644F55"/>
    <w:rsid w:val="006451A1"/>
    <w:rsid w:val="006457C0"/>
    <w:rsid w:val="00645B62"/>
    <w:rsid w:val="00645C8D"/>
    <w:rsid w:val="00645FF5"/>
    <w:rsid w:val="00646358"/>
    <w:rsid w:val="0064644A"/>
    <w:rsid w:val="006469DA"/>
    <w:rsid w:val="00646A54"/>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53"/>
    <w:rsid w:val="00655492"/>
    <w:rsid w:val="00655872"/>
    <w:rsid w:val="00655A0B"/>
    <w:rsid w:val="00655B58"/>
    <w:rsid w:val="00655E28"/>
    <w:rsid w:val="00656116"/>
    <w:rsid w:val="00656562"/>
    <w:rsid w:val="00656B8A"/>
    <w:rsid w:val="00656E4A"/>
    <w:rsid w:val="00657043"/>
    <w:rsid w:val="00657305"/>
    <w:rsid w:val="00657526"/>
    <w:rsid w:val="00657534"/>
    <w:rsid w:val="00657933"/>
    <w:rsid w:val="00657AFD"/>
    <w:rsid w:val="00660512"/>
    <w:rsid w:val="0066073B"/>
    <w:rsid w:val="00660B69"/>
    <w:rsid w:val="00660C61"/>
    <w:rsid w:val="00661105"/>
    <w:rsid w:val="006613F3"/>
    <w:rsid w:val="00661971"/>
    <w:rsid w:val="00661B09"/>
    <w:rsid w:val="00661BB2"/>
    <w:rsid w:val="00661F04"/>
    <w:rsid w:val="0066223C"/>
    <w:rsid w:val="00662248"/>
    <w:rsid w:val="00662684"/>
    <w:rsid w:val="00662DD2"/>
    <w:rsid w:val="00662F27"/>
    <w:rsid w:val="00663573"/>
    <w:rsid w:val="0066377F"/>
    <w:rsid w:val="006639BD"/>
    <w:rsid w:val="00664060"/>
    <w:rsid w:val="00664078"/>
    <w:rsid w:val="00664AA8"/>
    <w:rsid w:val="00664E13"/>
    <w:rsid w:val="00665352"/>
    <w:rsid w:val="00665536"/>
    <w:rsid w:val="00665873"/>
    <w:rsid w:val="006665F1"/>
    <w:rsid w:val="006668F1"/>
    <w:rsid w:val="00666D19"/>
    <w:rsid w:val="00666FD4"/>
    <w:rsid w:val="00667035"/>
    <w:rsid w:val="00667515"/>
    <w:rsid w:val="006676D8"/>
    <w:rsid w:val="006676F5"/>
    <w:rsid w:val="00667F7C"/>
    <w:rsid w:val="00670651"/>
    <w:rsid w:val="00670754"/>
    <w:rsid w:val="006709A0"/>
    <w:rsid w:val="00670C56"/>
    <w:rsid w:val="00671898"/>
    <w:rsid w:val="006718AE"/>
    <w:rsid w:val="00671C9C"/>
    <w:rsid w:val="00672109"/>
    <w:rsid w:val="00672BB2"/>
    <w:rsid w:val="00673156"/>
    <w:rsid w:val="0067316D"/>
    <w:rsid w:val="00673790"/>
    <w:rsid w:val="0067380D"/>
    <w:rsid w:val="00673880"/>
    <w:rsid w:val="00673F15"/>
    <w:rsid w:val="00674120"/>
    <w:rsid w:val="006744A9"/>
    <w:rsid w:val="0067459F"/>
    <w:rsid w:val="006747A4"/>
    <w:rsid w:val="00674DF2"/>
    <w:rsid w:val="00675048"/>
    <w:rsid w:val="00675942"/>
    <w:rsid w:val="00675CCC"/>
    <w:rsid w:val="00676364"/>
    <w:rsid w:val="0067654E"/>
    <w:rsid w:val="006766BE"/>
    <w:rsid w:val="006768CD"/>
    <w:rsid w:val="006774CA"/>
    <w:rsid w:val="006774E5"/>
    <w:rsid w:val="006777E0"/>
    <w:rsid w:val="00677AA1"/>
    <w:rsid w:val="00677BA6"/>
    <w:rsid w:val="00677E5D"/>
    <w:rsid w:val="00677F05"/>
    <w:rsid w:val="0068025C"/>
    <w:rsid w:val="006803F2"/>
    <w:rsid w:val="0068064C"/>
    <w:rsid w:val="006809FA"/>
    <w:rsid w:val="00680D5C"/>
    <w:rsid w:val="00680E32"/>
    <w:rsid w:val="0068111C"/>
    <w:rsid w:val="006819BE"/>
    <w:rsid w:val="00681BCB"/>
    <w:rsid w:val="00681EF6"/>
    <w:rsid w:val="006820C5"/>
    <w:rsid w:val="006822C6"/>
    <w:rsid w:val="00682B7E"/>
    <w:rsid w:val="00682C1E"/>
    <w:rsid w:val="006830BC"/>
    <w:rsid w:val="00683146"/>
    <w:rsid w:val="0068376C"/>
    <w:rsid w:val="00683A54"/>
    <w:rsid w:val="00683D50"/>
    <w:rsid w:val="00683E5B"/>
    <w:rsid w:val="00683FD1"/>
    <w:rsid w:val="00684398"/>
    <w:rsid w:val="00684A91"/>
    <w:rsid w:val="00684EBC"/>
    <w:rsid w:val="00684FE7"/>
    <w:rsid w:val="00684FFE"/>
    <w:rsid w:val="00685345"/>
    <w:rsid w:val="006855AF"/>
    <w:rsid w:val="006864EB"/>
    <w:rsid w:val="006865B8"/>
    <w:rsid w:val="00686936"/>
    <w:rsid w:val="006869E4"/>
    <w:rsid w:val="00686FB0"/>
    <w:rsid w:val="00687121"/>
    <w:rsid w:val="00687C8C"/>
    <w:rsid w:val="00690452"/>
    <w:rsid w:val="006909C1"/>
    <w:rsid w:val="00690F29"/>
    <w:rsid w:val="00691324"/>
    <w:rsid w:val="00692287"/>
    <w:rsid w:val="00692289"/>
    <w:rsid w:val="00692919"/>
    <w:rsid w:val="006929EB"/>
    <w:rsid w:val="00692E9E"/>
    <w:rsid w:val="00693145"/>
    <w:rsid w:val="006933DB"/>
    <w:rsid w:val="00693590"/>
    <w:rsid w:val="00693809"/>
    <w:rsid w:val="00693824"/>
    <w:rsid w:val="006939D0"/>
    <w:rsid w:val="00693A72"/>
    <w:rsid w:val="00693E0E"/>
    <w:rsid w:val="00693E19"/>
    <w:rsid w:val="00693EA6"/>
    <w:rsid w:val="00694123"/>
    <w:rsid w:val="0069416D"/>
    <w:rsid w:val="0069435A"/>
    <w:rsid w:val="006945FC"/>
    <w:rsid w:val="0069461E"/>
    <w:rsid w:val="00694BC3"/>
    <w:rsid w:val="00694CBC"/>
    <w:rsid w:val="00694D7D"/>
    <w:rsid w:val="00694EAA"/>
    <w:rsid w:val="00694F8D"/>
    <w:rsid w:val="0069515B"/>
    <w:rsid w:val="006952A8"/>
    <w:rsid w:val="006956B6"/>
    <w:rsid w:val="0069586D"/>
    <w:rsid w:val="00696243"/>
    <w:rsid w:val="0069679A"/>
    <w:rsid w:val="00697067"/>
    <w:rsid w:val="00697331"/>
    <w:rsid w:val="006973FA"/>
    <w:rsid w:val="0069750A"/>
    <w:rsid w:val="0069760D"/>
    <w:rsid w:val="006A01D4"/>
    <w:rsid w:val="006A0549"/>
    <w:rsid w:val="006A0595"/>
    <w:rsid w:val="006A05CF"/>
    <w:rsid w:val="006A0C44"/>
    <w:rsid w:val="006A0F4F"/>
    <w:rsid w:val="006A11C6"/>
    <w:rsid w:val="006A15D5"/>
    <w:rsid w:val="006A16CE"/>
    <w:rsid w:val="006A1803"/>
    <w:rsid w:val="006A19B3"/>
    <w:rsid w:val="006A2E5B"/>
    <w:rsid w:val="006A2FE1"/>
    <w:rsid w:val="006A30D3"/>
    <w:rsid w:val="006A313E"/>
    <w:rsid w:val="006A3141"/>
    <w:rsid w:val="006A3712"/>
    <w:rsid w:val="006A3A59"/>
    <w:rsid w:val="006A434B"/>
    <w:rsid w:val="006A4455"/>
    <w:rsid w:val="006A44F5"/>
    <w:rsid w:val="006A4D39"/>
    <w:rsid w:val="006A4E70"/>
    <w:rsid w:val="006A50F8"/>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3E5"/>
    <w:rsid w:val="006B3635"/>
    <w:rsid w:val="006B3848"/>
    <w:rsid w:val="006B3ABF"/>
    <w:rsid w:val="006B3E64"/>
    <w:rsid w:val="006B4696"/>
    <w:rsid w:val="006B47F9"/>
    <w:rsid w:val="006B4F22"/>
    <w:rsid w:val="006B5AF5"/>
    <w:rsid w:val="006B5B2A"/>
    <w:rsid w:val="006B5BE5"/>
    <w:rsid w:val="006B6104"/>
    <w:rsid w:val="006B68BF"/>
    <w:rsid w:val="006B6A06"/>
    <w:rsid w:val="006B6D93"/>
    <w:rsid w:val="006B766F"/>
    <w:rsid w:val="006B7854"/>
    <w:rsid w:val="006B7A0E"/>
    <w:rsid w:val="006B7D6C"/>
    <w:rsid w:val="006C0006"/>
    <w:rsid w:val="006C06AD"/>
    <w:rsid w:val="006C0A28"/>
    <w:rsid w:val="006C0C3B"/>
    <w:rsid w:val="006C0E56"/>
    <w:rsid w:val="006C148F"/>
    <w:rsid w:val="006C184A"/>
    <w:rsid w:val="006C215C"/>
    <w:rsid w:val="006C2163"/>
    <w:rsid w:val="006C26BB"/>
    <w:rsid w:val="006C2B65"/>
    <w:rsid w:val="006C3605"/>
    <w:rsid w:val="006C3AE3"/>
    <w:rsid w:val="006C3E39"/>
    <w:rsid w:val="006C41A5"/>
    <w:rsid w:val="006C4564"/>
    <w:rsid w:val="006C47A0"/>
    <w:rsid w:val="006C47BA"/>
    <w:rsid w:val="006C4FE4"/>
    <w:rsid w:val="006C506E"/>
    <w:rsid w:val="006C5201"/>
    <w:rsid w:val="006C5B58"/>
    <w:rsid w:val="006C5E60"/>
    <w:rsid w:val="006C6315"/>
    <w:rsid w:val="006C6C53"/>
    <w:rsid w:val="006C6CB1"/>
    <w:rsid w:val="006C6D07"/>
    <w:rsid w:val="006C7098"/>
    <w:rsid w:val="006C7B1F"/>
    <w:rsid w:val="006D0147"/>
    <w:rsid w:val="006D0814"/>
    <w:rsid w:val="006D0C25"/>
    <w:rsid w:val="006D0ED0"/>
    <w:rsid w:val="006D1082"/>
    <w:rsid w:val="006D13A1"/>
    <w:rsid w:val="006D1434"/>
    <w:rsid w:val="006D15DC"/>
    <w:rsid w:val="006D1703"/>
    <w:rsid w:val="006D1C8E"/>
    <w:rsid w:val="006D1F9B"/>
    <w:rsid w:val="006D2437"/>
    <w:rsid w:val="006D294C"/>
    <w:rsid w:val="006D3292"/>
    <w:rsid w:val="006D34F7"/>
    <w:rsid w:val="006D38F2"/>
    <w:rsid w:val="006D4259"/>
    <w:rsid w:val="006D4512"/>
    <w:rsid w:val="006D49E2"/>
    <w:rsid w:val="006D4E02"/>
    <w:rsid w:val="006D5636"/>
    <w:rsid w:val="006D5B67"/>
    <w:rsid w:val="006D5CB3"/>
    <w:rsid w:val="006D6005"/>
    <w:rsid w:val="006D6670"/>
    <w:rsid w:val="006D676C"/>
    <w:rsid w:val="006D6C91"/>
    <w:rsid w:val="006D6D78"/>
    <w:rsid w:val="006D703F"/>
    <w:rsid w:val="006D74A6"/>
    <w:rsid w:val="006D7656"/>
    <w:rsid w:val="006D773E"/>
    <w:rsid w:val="006D79E0"/>
    <w:rsid w:val="006D7ABC"/>
    <w:rsid w:val="006D7F39"/>
    <w:rsid w:val="006E03A1"/>
    <w:rsid w:val="006E096C"/>
    <w:rsid w:val="006E0C71"/>
    <w:rsid w:val="006E0DB9"/>
    <w:rsid w:val="006E1034"/>
    <w:rsid w:val="006E17C0"/>
    <w:rsid w:val="006E17F2"/>
    <w:rsid w:val="006E1AA5"/>
    <w:rsid w:val="006E1D49"/>
    <w:rsid w:val="006E1DD8"/>
    <w:rsid w:val="006E2201"/>
    <w:rsid w:val="006E2958"/>
    <w:rsid w:val="006E2C15"/>
    <w:rsid w:val="006E3384"/>
    <w:rsid w:val="006E388E"/>
    <w:rsid w:val="006E3D42"/>
    <w:rsid w:val="006E460F"/>
    <w:rsid w:val="006E4647"/>
    <w:rsid w:val="006E4BA6"/>
    <w:rsid w:val="006E4D4F"/>
    <w:rsid w:val="006E4DB8"/>
    <w:rsid w:val="006E513D"/>
    <w:rsid w:val="006E514B"/>
    <w:rsid w:val="006E53CC"/>
    <w:rsid w:val="006E554C"/>
    <w:rsid w:val="006E5C81"/>
    <w:rsid w:val="006E5DC5"/>
    <w:rsid w:val="006E5EF3"/>
    <w:rsid w:val="006E699D"/>
    <w:rsid w:val="006E6EB3"/>
    <w:rsid w:val="006E7266"/>
    <w:rsid w:val="006E7595"/>
    <w:rsid w:val="006E75D7"/>
    <w:rsid w:val="006F0789"/>
    <w:rsid w:val="006F1242"/>
    <w:rsid w:val="006F1257"/>
    <w:rsid w:val="006F1486"/>
    <w:rsid w:val="006F1FA4"/>
    <w:rsid w:val="006F24DF"/>
    <w:rsid w:val="006F2891"/>
    <w:rsid w:val="006F295D"/>
    <w:rsid w:val="006F3348"/>
    <w:rsid w:val="006F3B6A"/>
    <w:rsid w:val="006F3DC3"/>
    <w:rsid w:val="006F4B31"/>
    <w:rsid w:val="006F5919"/>
    <w:rsid w:val="006F5CC0"/>
    <w:rsid w:val="006F61C2"/>
    <w:rsid w:val="006F61F7"/>
    <w:rsid w:val="006F6800"/>
    <w:rsid w:val="006F6AD1"/>
    <w:rsid w:val="006F6DAD"/>
    <w:rsid w:val="006F6F86"/>
    <w:rsid w:val="006F71D9"/>
    <w:rsid w:val="006F7490"/>
    <w:rsid w:val="00700C05"/>
    <w:rsid w:val="00701241"/>
    <w:rsid w:val="007013CD"/>
    <w:rsid w:val="00701A0A"/>
    <w:rsid w:val="00701A6D"/>
    <w:rsid w:val="0070267D"/>
    <w:rsid w:val="0070273A"/>
    <w:rsid w:val="007027A4"/>
    <w:rsid w:val="00702A83"/>
    <w:rsid w:val="00702C0F"/>
    <w:rsid w:val="00703889"/>
    <w:rsid w:val="007038C4"/>
    <w:rsid w:val="007038FC"/>
    <w:rsid w:val="00704221"/>
    <w:rsid w:val="0070462B"/>
    <w:rsid w:val="007048A7"/>
    <w:rsid w:val="00704979"/>
    <w:rsid w:val="00704B46"/>
    <w:rsid w:val="00704CD1"/>
    <w:rsid w:val="00704D6E"/>
    <w:rsid w:val="00704FB0"/>
    <w:rsid w:val="0070547D"/>
    <w:rsid w:val="00705C1D"/>
    <w:rsid w:val="00705DC4"/>
    <w:rsid w:val="00705E64"/>
    <w:rsid w:val="00706051"/>
    <w:rsid w:val="007062AE"/>
    <w:rsid w:val="0070652F"/>
    <w:rsid w:val="00706631"/>
    <w:rsid w:val="0070669E"/>
    <w:rsid w:val="00707602"/>
    <w:rsid w:val="007076B0"/>
    <w:rsid w:val="0070774D"/>
    <w:rsid w:val="00707795"/>
    <w:rsid w:val="00707F73"/>
    <w:rsid w:val="00710296"/>
    <w:rsid w:val="00710310"/>
    <w:rsid w:val="00710955"/>
    <w:rsid w:val="00710AFD"/>
    <w:rsid w:val="00710BC9"/>
    <w:rsid w:val="00710C24"/>
    <w:rsid w:val="00710C49"/>
    <w:rsid w:val="00710CA7"/>
    <w:rsid w:val="00710DC3"/>
    <w:rsid w:val="00712495"/>
    <w:rsid w:val="0071285E"/>
    <w:rsid w:val="00712B22"/>
    <w:rsid w:val="00712B4B"/>
    <w:rsid w:val="00712CB7"/>
    <w:rsid w:val="00712ED9"/>
    <w:rsid w:val="00712F75"/>
    <w:rsid w:val="007130B5"/>
    <w:rsid w:val="00713BB0"/>
    <w:rsid w:val="00713C77"/>
    <w:rsid w:val="00713F8E"/>
    <w:rsid w:val="0071423D"/>
    <w:rsid w:val="00714561"/>
    <w:rsid w:val="007147E5"/>
    <w:rsid w:val="00714AF3"/>
    <w:rsid w:val="00714B3E"/>
    <w:rsid w:val="007158E2"/>
    <w:rsid w:val="00715B72"/>
    <w:rsid w:val="00715F25"/>
    <w:rsid w:val="00716140"/>
    <w:rsid w:val="00716172"/>
    <w:rsid w:val="0071685E"/>
    <w:rsid w:val="00716B28"/>
    <w:rsid w:val="007172D0"/>
    <w:rsid w:val="0071741D"/>
    <w:rsid w:val="00717C23"/>
    <w:rsid w:val="00717CE1"/>
    <w:rsid w:val="00720D4E"/>
    <w:rsid w:val="007214B7"/>
    <w:rsid w:val="00721A54"/>
    <w:rsid w:val="00721D5A"/>
    <w:rsid w:val="00721DDB"/>
    <w:rsid w:val="00722054"/>
    <w:rsid w:val="007221C5"/>
    <w:rsid w:val="00722632"/>
    <w:rsid w:val="0072282C"/>
    <w:rsid w:val="00722BE6"/>
    <w:rsid w:val="00722D6F"/>
    <w:rsid w:val="00722E2E"/>
    <w:rsid w:val="00723459"/>
    <w:rsid w:val="00723AE1"/>
    <w:rsid w:val="00724019"/>
    <w:rsid w:val="007242BC"/>
    <w:rsid w:val="007244DF"/>
    <w:rsid w:val="007246F4"/>
    <w:rsid w:val="00725440"/>
    <w:rsid w:val="007254C6"/>
    <w:rsid w:val="007268AF"/>
    <w:rsid w:val="0072759B"/>
    <w:rsid w:val="007277F5"/>
    <w:rsid w:val="007278A5"/>
    <w:rsid w:val="00727996"/>
    <w:rsid w:val="00730030"/>
    <w:rsid w:val="00730B8A"/>
    <w:rsid w:val="00730DE1"/>
    <w:rsid w:val="0073116A"/>
    <w:rsid w:val="007322B8"/>
    <w:rsid w:val="007322CC"/>
    <w:rsid w:val="0073247F"/>
    <w:rsid w:val="0073278D"/>
    <w:rsid w:val="00732880"/>
    <w:rsid w:val="00732EF5"/>
    <w:rsid w:val="007333DF"/>
    <w:rsid w:val="007339AB"/>
    <w:rsid w:val="00733BE5"/>
    <w:rsid w:val="007355B5"/>
    <w:rsid w:val="007357ED"/>
    <w:rsid w:val="00735A76"/>
    <w:rsid w:val="00735B10"/>
    <w:rsid w:val="00735E4D"/>
    <w:rsid w:val="007363AA"/>
    <w:rsid w:val="00736CA2"/>
    <w:rsid w:val="00736DD7"/>
    <w:rsid w:val="007376CC"/>
    <w:rsid w:val="007376CF"/>
    <w:rsid w:val="00737861"/>
    <w:rsid w:val="00737E09"/>
    <w:rsid w:val="0074014C"/>
    <w:rsid w:val="0074048A"/>
    <w:rsid w:val="007407F6"/>
    <w:rsid w:val="00740BEF"/>
    <w:rsid w:val="00740E22"/>
    <w:rsid w:val="00741534"/>
    <w:rsid w:val="00741B45"/>
    <w:rsid w:val="00742021"/>
    <w:rsid w:val="00742308"/>
    <w:rsid w:val="007429E9"/>
    <w:rsid w:val="00742A2D"/>
    <w:rsid w:val="00742D84"/>
    <w:rsid w:val="00742F7F"/>
    <w:rsid w:val="007431DE"/>
    <w:rsid w:val="0074321B"/>
    <w:rsid w:val="00743288"/>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665"/>
    <w:rsid w:val="00747628"/>
    <w:rsid w:val="00747AD9"/>
    <w:rsid w:val="0075015B"/>
    <w:rsid w:val="007509FB"/>
    <w:rsid w:val="00750BE5"/>
    <w:rsid w:val="00750C03"/>
    <w:rsid w:val="00750C58"/>
    <w:rsid w:val="00750E46"/>
    <w:rsid w:val="00750E72"/>
    <w:rsid w:val="0075146E"/>
    <w:rsid w:val="007515B4"/>
    <w:rsid w:val="007517F7"/>
    <w:rsid w:val="00751832"/>
    <w:rsid w:val="00751A5B"/>
    <w:rsid w:val="007520BC"/>
    <w:rsid w:val="00752422"/>
    <w:rsid w:val="007524C6"/>
    <w:rsid w:val="007526C3"/>
    <w:rsid w:val="00752714"/>
    <w:rsid w:val="00753672"/>
    <w:rsid w:val="00753776"/>
    <w:rsid w:val="00753851"/>
    <w:rsid w:val="00753982"/>
    <w:rsid w:val="0075581D"/>
    <w:rsid w:val="00756313"/>
    <w:rsid w:val="00756779"/>
    <w:rsid w:val="00756AB5"/>
    <w:rsid w:val="00757046"/>
    <w:rsid w:val="00757194"/>
    <w:rsid w:val="00757285"/>
    <w:rsid w:val="00757460"/>
    <w:rsid w:val="0075787F"/>
    <w:rsid w:val="00757913"/>
    <w:rsid w:val="007579B7"/>
    <w:rsid w:val="00757A24"/>
    <w:rsid w:val="00757AE9"/>
    <w:rsid w:val="00757E84"/>
    <w:rsid w:val="00757FA5"/>
    <w:rsid w:val="00760363"/>
    <w:rsid w:val="0076038B"/>
    <w:rsid w:val="007606C0"/>
    <w:rsid w:val="00760B74"/>
    <w:rsid w:val="00761664"/>
    <w:rsid w:val="0076186F"/>
    <w:rsid w:val="00761D5C"/>
    <w:rsid w:val="00762009"/>
    <w:rsid w:val="00762182"/>
    <w:rsid w:val="007625BB"/>
    <w:rsid w:val="00762758"/>
    <w:rsid w:val="00763024"/>
    <w:rsid w:val="007634E1"/>
    <w:rsid w:val="0076357C"/>
    <w:rsid w:val="00764071"/>
    <w:rsid w:val="0076489B"/>
    <w:rsid w:val="00764D42"/>
    <w:rsid w:val="00764E53"/>
    <w:rsid w:val="00765059"/>
    <w:rsid w:val="0076515A"/>
    <w:rsid w:val="00765587"/>
    <w:rsid w:val="0076559D"/>
    <w:rsid w:val="00765697"/>
    <w:rsid w:val="0076579A"/>
    <w:rsid w:val="00766336"/>
    <w:rsid w:val="00766570"/>
    <w:rsid w:val="00766716"/>
    <w:rsid w:val="007668DF"/>
    <w:rsid w:val="00766B07"/>
    <w:rsid w:val="00766F58"/>
    <w:rsid w:val="00767C0A"/>
    <w:rsid w:val="00767C1E"/>
    <w:rsid w:val="00770145"/>
    <w:rsid w:val="00770A78"/>
    <w:rsid w:val="00770D05"/>
    <w:rsid w:val="00771066"/>
    <w:rsid w:val="00771BEA"/>
    <w:rsid w:val="00771E97"/>
    <w:rsid w:val="007725C7"/>
    <w:rsid w:val="00772D00"/>
    <w:rsid w:val="00772E1E"/>
    <w:rsid w:val="00773AB6"/>
    <w:rsid w:val="00774971"/>
    <w:rsid w:val="00774E5C"/>
    <w:rsid w:val="0077560E"/>
    <w:rsid w:val="0077585E"/>
    <w:rsid w:val="00775871"/>
    <w:rsid w:val="007765B2"/>
    <w:rsid w:val="0077691C"/>
    <w:rsid w:val="00776C29"/>
    <w:rsid w:val="00777334"/>
    <w:rsid w:val="00777909"/>
    <w:rsid w:val="0077797B"/>
    <w:rsid w:val="00777A21"/>
    <w:rsid w:val="00777B65"/>
    <w:rsid w:val="00777C28"/>
    <w:rsid w:val="00777E9A"/>
    <w:rsid w:val="0078122D"/>
    <w:rsid w:val="00781375"/>
    <w:rsid w:val="00781456"/>
    <w:rsid w:val="00781687"/>
    <w:rsid w:val="00781BD3"/>
    <w:rsid w:val="00781C73"/>
    <w:rsid w:val="00781DB7"/>
    <w:rsid w:val="00782516"/>
    <w:rsid w:val="0078291E"/>
    <w:rsid w:val="00783591"/>
    <w:rsid w:val="00783A9B"/>
    <w:rsid w:val="00783B2F"/>
    <w:rsid w:val="00784299"/>
    <w:rsid w:val="00784734"/>
    <w:rsid w:val="00784AD1"/>
    <w:rsid w:val="00785BA8"/>
    <w:rsid w:val="00785C7F"/>
    <w:rsid w:val="007863BD"/>
    <w:rsid w:val="0078674A"/>
    <w:rsid w:val="00786851"/>
    <w:rsid w:val="00786BBE"/>
    <w:rsid w:val="00786D18"/>
    <w:rsid w:val="007871EA"/>
    <w:rsid w:val="0078730B"/>
    <w:rsid w:val="00787462"/>
    <w:rsid w:val="0078753E"/>
    <w:rsid w:val="00787720"/>
    <w:rsid w:val="007878FF"/>
    <w:rsid w:val="00787A21"/>
    <w:rsid w:val="00787A92"/>
    <w:rsid w:val="00787C26"/>
    <w:rsid w:val="00787FD1"/>
    <w:rsid w:val="0079011E"/>
    <w:rsid w:val="00790621"/>
    <w:rsid w:val="007906D9"/>
    <w:rsid w:val="00790706"/>
    <w:rsid w:val="0079079A"/>
    <w:rsid w:val="007907C8"/>
    <w:rsid w:val="00790E84"/>
    <w:rsid w:val="0079177F"/>
    <w:rsid w:val="00791857"/>
    <w:rsid w:val="00791884"/>
    <w:rsid w:val="00791977"/>
    <w:rsid w:val="00791A1A"/>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252"/>
    <w:rsid w:val="007956DA"/>
    <w:rsid w:val="00795906"/>
    <w:rsid w:val="00795E1D"/>
    <w:rsid w:val="00795E2B"/>
    <w:rsid w:val="0079612A"/>
    <w:rsid w:val="00796455"/>
    <w:rsid w:val="0079666E"/>
    <w:rsid w:val="0079680F"/>
    <w:rsid w:val="0079746C"/>
    <w:rsid w:val="00797484"/>
    <w:rsid w:val="00797BD9"/>
    <w:rsid w:val="00797F0D"/>
    <w:rsid w:val="007A03C4"/>
    <w:rsid w:val="007A0752"/>
    <w:rsid w:val="007A084E"/>
    <w:rsid w:val="007A1655"/>
    <w:rsid w:val="007A18F4"/>
    <w:rsid w:val="007A1915"/>
    <w:rsid w:val="007A1F39"/>
    <w:rsid w:val="007A214E"/>
    <w:rsid w:val="007A2705"/>
    <w:rsid w:val="007A277F"/>
    <w:rsid w:val="007A287E"/>
    <w:rsid w:val="007A29DB"/>
    <w:rsid w:val="007A2EA5"/>
    <w:rsid w:val="007A2EC9"/>
    <w:rsid w:val="007A305B"/>
    <w:rsid w:val="007A3391"/>
    <w:rsid w:val="007A3581"/>
    <w:rsid w:val="007A36F7"/>
    <w:rsid w:val="007A3FC6"/>
    <w:rsid w:val="007A4A52"/>
    <w:rsid w:val="007A5598"/>
    <w:rsid w:val="007A5B4A"/>
    <w:rsid w:val="007A617C"/>
    <w:rsid w:val="007A6261"/>
    <w:rsid w:val="007A68EF"/>
    <w:rsid w:val="007A69B2"/>
    <w:rsid w:val="007A6C6F"/>
    <w:rsid w:val="007A73C2"/>
    <w:rsid w:val="007A75C0"/>
    <w:rsid w:val="007A79E5"/>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C8D"/>
    <w:rsid w:val="007B4CCA"/>
    <w:rsid w:val="007B511E"/>
    <w:rsid w:val="007B512F"/>
    <w:rsid w:val="007B5C76"/>
    <w:rsid w:val="007B5C97"/>
    <w:rsid w:val="007B5E35"/>
    <w:rsid w:val="007B6282"/>
    <w:rsid w:val="007B639E"/>
    <w:rsid w:val="007B66F6"/>
    <w:rsid w:val="007B679B"/>
    <w:rsid w:val="007B6833"/>
    <w:rsid w:val="007B6B46"/>
    <w:rsid w:val="007B72D9"/>
    <w:rsid w:val="007B7572"/>
    <w:rsid w:val="007B7A96"/>
    <w:rsid w:val="007C08B2"/>
    <w:rsid w:val="007C0A9B"/>
    <w:rsid w:val="007C10D7"/>
    <w:rsid w:val="007C118C"/>
    <w:rsid w:val="007C12E4"/>
    <w:rsid w:val="007C145A"/>
    <w:rsid w:val="007C190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73D"/>
    <w:rsid w:val="007C6A01"/>
    <w:rsid w:val="007C6A2F"/>
    <w:rsid w:val="007C6B35"/>
    <w:rsid w:val="007C6F86"/>
    <w:rsid w:val="007C78B8"/>
    <w:rsid w:val="007C7ADF"/>
    <w:rsid w:val="007C7B6D"/>
    <w:rsid w:val="007D04B8"/>
    <w:rsid w:val="007D0513"/>
    <w:rsid w:val="007D05A2"/>
    <w:rsid w:val="007D0892"/>
    <w:rsid w:val="007D0B79"/>
    <w:rsid w:val="007D0BD7"/>
    <w:rsid w:val="007D1D35"/>
    <w:rsid w:val="007D206F"/>
    <w:rsid w:val="007D2336"/>
    <w:rsid w:val="007D2385"/>
    <w:rsid w:val="007D261A"/>
    <w:rsid w:val="007D2EB4"/>
    <w:rsid w:val="007D3784"/>
    <w:rsid w:val="007D3890"/>
    <w:rsid w:val="007D40FC"/>
    <w:rsid w:val="007D411E"/>
    <w:rsid w:val="007D43F0"/>
    <w:rsid w:val="007D44C0"/>
    <w:rsid w:val="007D46CB"/>
    <w:rsid w:val="007D4FB8"/>
    <w:rsid w:val="007D50BA"/>
    <w:rsid w:val="007D542B"/>
    <w:rsid w:val="007D58B4"/>
    <w:rsid w:val="007D5A54"/>
    <w:rsid w:val="007D5ABC"/>
    <w:rsid w:val="007D5BD0"/>
    <w:rsid w:val="007D5BE1"/>
    <w:rsid w:val="007D5CCD"/>
    <w:rsid w:val="007D5DB0"/>
    <w:rsid w:val="007D6894"/>
    <w:rsid w:val="007D689A"/>
    <w:rsid w:val="007D7309"/>
    <w:rsid w:val="007D79B6"/>
    <w:rsid w:val="007E090B"/>
    <w:rsid w:val="007E0D90"/>
    <w:rsid w:val="007E0E6F"/>
    <w:rsid w:val="007E1807"/>
    <w:rsid w:val="007E1BF3"/>
    <w:rsid w:val="007E1D20"/>
    <w:rsid w:val="007E1E61"/>
    <w:rsid w:val="007E1FAD"/>
    <w:rsid w:val="007E21C0"/>
    <w:rsid w:val="007E235D"/>
    <w:rsid w:val="007E2577"/>
    <w:rsid w:val="007E2EC1"/>
    <w:rsid w:val="007E3C23"/>
    <w:rsid w:val="007E4033"/>
    <w:rsid w:val="007E4882"/>
    <w:rsid w:val="007E4988"/>
    <w:rsid w:val="007E4E7F"/>
    <w:rsid w:val="007E4E96"/>
    <w:rsid w:val="007E4FD3"/>
    <w:rsid w:val="007E57F4"/>
    <w:rsid w:val="007E5B67"/>
    <w:rsid w:val="007E60EE"/>
    <w:rsid w:val="007E634F"/>
    <w:rsid w:val="007E6DFE"/>
    <w:rsid w:val="007E6EFA"/>
    <w:rsid w:val="007E7112"/>
    <w:rsid w:val="007E7290"/>
    <w:rsid w:val="007E72D0"/>
    <w:rsid w:val="007E7365"/>
    <w:rsid w:val="007E7476"/>
    <w:rsid w:val="007E7522"/>
    <w:rsid w:val="007E7602"/>
    <w:rsid w:val="007E7860"/>
    <w:rsid w:val="007F0631"/>
    <w:rsid w:val="007F081B"/>
    <w:rsid w:val="007F096D"/>
    <w:rsid w:val="007F0EB8"/>
    <w:rsid w:val="007F1086"/>
    <w:rsid w:val="007F12BD"/>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F5D"/>
    <w:rsid w:val="007F509B"/>
    <w:rsid w:val="007F543A"/>
    <w:rsid w:val="007F5D0F"/>
    <w:rsid w:val="007F6457"/>
    <w:rsid w:val="007F765D"/>
    <w:rsid w:val="0080008A"/>
    <w:rsid w:val="008002AF"/>
    <w:rsid w:val="00800621"/>
    <w:rsid w:val="00800947"/>
    <w:rsid w:val="00800C32"/>
    <w:rsid w:val="00800CA2"/>
    <w:rsid w:val="008012FC"/>
    <w:rsid w:val="00801665"/>
    <w:rsid w:val="00801826"/>
    <w:rsid w:val="00801B16"/>
    <w:rsid w:val="00801CCA"/>
    <w:rsid w:val="00802140"/>
    <w:rsid w:val="0080273E"/>
    <w:rsid w:val="00802D98"/>
    <w:rsid w:val="0080303A"/>
    <w:rsid w:val="00803070"/>
    <w:rsid w:val="008039EE"/>
    <w:rsid w:val="00803A34"/>
    <w:rsid w:val="00803E7B"/>
    <w:rsid w:val="0080404E"/>
    <w:rsid w:val="008046EA"/>
    <w:rsid w:val="00804745"/>
    <w:rsid w:val="00805141"/>
    <w:rsid w:val="00805606"/>
    <w:rsid w:val="008057BE"/>
    <w:rsid w:val="008057C0"/>
    <w:rsid w:val="00805823"/>
    <w:rsid w:val="00805920"/>
    <w:rsid w:val="00805CD3"/>
    <w:rsid w:val="00806F89"/>
    <w:rsid w:val="0080711D"/>
    <w:rsid w:val="0080737C"/>
    <w:rsid w:val="00807460"/>
    <w:rsid w:val="00807C21"/>
    <w:rsid w:val="00807CED"/>
    <w:rsid w:val="00810925"/>
    <w:rsid w:val="0081097E"/>
    <w:rsid w:val="00810BCD"/>
    <w:rsid w:val="00810EF8"/>
    <w:rsid w:val="00810F0F"/>
    <w:rsid w:val="0081112F"/>
    <w:rsid w:val="00811157"/>
    <w:rsid w:val="008115EE"/>
    <w:rsid w:val="00811CB1"/>
    <w:rsid w:val="00811F5B"/>
    <w:rsid w:val="0081263C"/>
    <w:rsid w:val="00812CEE"/>
    <w:rsid w:val="00813080"/>
    <w:rsid w:val="00813D2C"/>
    <w:rsid w:val="00813DC0"/>
    <w:rsid w:val="00813E06"/>
    <w:rsid w:val="00814493"/>
    <w:rsid w:val="00814D59"/>
    <w:rsid w:val="00815037"/>
    <w:rsid w:val="008156C0"/>
    <w:rsid w:val="008157D3"/>
    <w:rsid w:val="00815982"/>
    <w:rsid w:val="00816283"/>
    <w:rsid w:val="008163C2"/>
    <w:rsid w:val="0081660F"/>
    <w:rsid w:val="00816F07"/>
    <w:rsid w:val="00817745"/>
    <w:rsid w:val="00817796"/>
    <w:rsid w:val="00817AC2"/>
    <w:rsid w:val="00817BD7"/>
    <w:rsid w:val="00817D0A"/>
    <w:rsid w:val="008201C8"/>
    <w:rsid w:val="008206E4"/>
    <w:rsid w:val="00820D5A"/>
    <w:rsid w:val="00820E5E"/>
    <w:rsid w:val="00821455"/>
    <w:rsid w:val="008216E2"/>
    <w:rsid w:val="0082187F"/>
    <w:rsid w:val="008218D0"/>
    <w:rsid w:val="00821ADD"/>
    <w:rsid w:val="00821E84"/>
    <w:rsid w:val="0082246B"/>
    <w:rsid w:val="0082254C"/>
    <w:rsid w:val="00822935"/>
    <w:rsid w:val="00822CAB"/>
    <w:rsid w:val="008231A4"/>
    <w:rsid w:val="008234DF"/>
    <w:rsid w:val="00823B69"/>
    <w:rsid w:val="00823E6F"/>
    <w:rsid w:val="0082460E"/>
    <w:rsid w:val="008247B0"/>
    <w:rsid w:val="00824C47"/>
    <w:rsid w:val="008253DB"/>
    <w:rsid w:val="00825631"/>
    <w:rsid w:val="008259CD"/>
    <w:rsid w:val="00825BF7"/>
    <w:rsid w:val="0082613D"/>
    <w:rsid w:val="008264A8"/>
    <w:rsid w:val="00826538"/>
    <w:rsid w:val="00826706"/>
    <w:rsid w:val="00826815"/>
    <w:rsid w:val="00827555"/>
    <w:rsid w:val="00827802"/>
    <w:rsid w:val="00827F18"/>
    <w:rsid w:val="0083040E"/>
    <w:rsid w:val="00830520"/>
    <w:rsid w:val="0083074B"/>
    <w:rsid w:val="00831211"/>
    <w:rsid w:val="008319EC"/>
    <w:rsid w:val="00831F4B"/>
    <w:rsid w:val="00831FEC"/>
    <w:rsid w:val="00832A7C"/>
    <w:rsid w:val="00832B54"/>
    <w:rsid w:val="00833069"/>
    <w:rsid w:val="00833268"/>
    <w:rsid w:val="008336E5"/>
    <w:rsid w:val="00833FA2"/>
    <w:rsid w:val="00834181"/>
    <w:rsid w:val="00834394"/>
    <w:rsid w:val="00834B48"/>
    <w:rsid w:val="00834E88"/>
    <w:rsid w:val="00835318"/>
    <w:rsid w:val="00835576"/>
    <w:rsid w:val="00835632"/>
    <w:rsid w:val="0083570C"/>
    <w:rsid w:val="00835A46"/>
    <w:rsid w:val="0083638D"/>
    <w:rsid w:val="0083697F"/>
    <w:rsid w:val="00836B86"/>
    <w:rsid w:val="00836DD1"/>
    <w:rsid w:val="008370D0"/>
    <w:rsid w:val="008377B5"/>
    <w:rsid w:val="00837D89"/>
    <w:rsid w:val="008402E6"/>
    <w:rsid w:val="00840565"/>
    <w:rsid w:val="008409E7"/>
    <w:rsid w:val="00840FE2"/>
    <w:rsid w:val="0084116F"/>
    <w:rsid w:val="008416A5"/>
    <w:rsid w:val="00841843"/>
    <w:rsid w:val="0084194A"/>
    <w:rsid w:val="00843259"/>
    <w:rsid w:val="008437D4"/>
    <w:rsid w:val="00843824"/>
    <w:rsid w:val="008438D3"/>
    <w:rsid w:val="00843F95"/>
    <w:rsid w:val="0084408B"/>
    <w:rsid w:val="00844287"/>
    <w:rsid w:val="008443C0"/>
    <w:rsid w:val="00844639"/>
    <w:rsid w:val="0084481D"/>
    <w:rsid w:val="00844A46"/>
    <w:rsid w:val="00844C7E"/>
    <w:rsid w:val="00844E50"/>
    <w:rsid w:val="00845354"/>
    <w:rsid w:val="008454FE"/>
    <w:rsid w:val="008456FF"/>
    <w:rsid w:val="00845C3C"/>
    <w:rsid w:val="00845C9A"/>
    <w:rsid w:val="00845F4C"/>
    <w:rsid w:val="00846960"/>
    <w:rsid w:val="00846C50"/>
    <w:rsid w:val="00847196"/>
    <w:rsid w:val="00847DDF"/>
    <w:rsid w:val="00847F43"/>
    <w:rsid w:val="008501A5"/>
    <w:rsid w:val="00850F53"/>
    <w:rsid w:val="00850FCE"/>
    <w:rsid w:val="008524A9"/>
    <w:rsid w:val="0085295F"/>
    <w:rsid w:val="00853334"/>
    <w:rsid w:val="0085334B"/>
    <w:rsid w:val="008535F0"/>
    <w:rsid w:val="00853A17"/>
    <w:rsid w:val="00853EC3"/>
    <w:rsid w:val="0085414B"/>
    <w:rsid w:val="0085416B"/>
    <w:rsid w:val="008542F8"/>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57F1E"/>
    <w:rsid w:val="008603AA"/>
    <w:rsid w:val="008605FE"/>
    <w:rsid w:val="00860629"/>
    <w:rsid w:val="0086081C"/>
    <w:rsid w:val="008617AF"/>
    <w:rsid w:val="0086181F"/>
    <w:rsid w:val="00861833"/>
    <w:rsid w:val="008619FF"/>
    <w:rsid w:val="00861BE6"/>
    <w:rsid w:val="00861D57"/>
    <w:rsid w:val="008622C8"/>
    <w:rsid w:val="00862C0C"/>
    <w:rsid w:val="00862D15"/>
    <w:rsid w:val="00863299"/>
    <w:rsid w:val="0086385E"/>
    <w:rsid w:val="00864128"/>
    <w:rsid w:val="008645BB"/>
    <w:rsid w:val="00864661"/>
    <w:rsid w:val="008648A3"/>
    <w:rsid w:val="008648C0"/>
    <w:rsid w:val="00864C1F"/>
    <w:rsid w:val="00864CD4"/>
    <w:rsid w:val="00864E06"/>
    <w:rsid w:val="00864EB9"/>
    <w:rsid w:val="008652F3"/>
    <w:rsid w:val="00865E21"/>
    <w:rsid w:val="008660B5"/>
    <w:rsid w:val="008660BB"/>
    <w:rsid w:val="008660D1"/>
    <w:rsid w:val="008661AA"/>
    <w:rsid w:val="008663D1"/>
    <w:rsid w:val="00866547"/>
    <w:rsid w:val="008668DD"/>
    <w:rsid w:val="00866A16"/>
    <w:rsid w:val="00866AE2"/>
    <w:rsid w:val="00867829"/>
    <w:rsid w:val="00867B4C"/>
    <w:rsid w:val="00867E26"/>
    <w:rsid w:val="00867EFC"/>
    <w:rsid w:val="0087047D"/>
    <w:rsid w:val="008711F4"/>
    <w:rsid w:val="00871951"/>
    <w:rsid w:val="00871B1E"/>
    <w:rsid w:val="00871C24"/>
    <w:rsid w:val="00871FA1"/>
    <w:rsid w:val="00872057"/>
    <w:rsid w:val="00872F7E"/>
    <w:rsid w:val="00872F88"/>
    <w:rsid w:val="008733EA"/>
    <w:rsid w:val="008734D4"/>
    <w:rsid w:val="008741A3"/>
    <w:rsid w:val="0087514C"/>
    <w:rsid w:val="00875151"/>
    <w:rsid w:val="0087528B"/>
    <w:rsid w:val="0087537A"/>
    <w:rsid w:val="008756D8"/>
    <w:rsid w:val="00875B39"/>
    <w:rsid w:val="00875C28"/>
    <w:rsid w:val="00875C42"/>
    <w:rsid w:val="00875E14"/>
    <w:rsid w:val="00876471"/>
    <w:rsid w:val="00876478"/>
    <w:rsid w:val="00876488"/>
    <w:rsid w:val="008766D1"/>
    <w:rsid w:val="00876BB6"/>
    <w:rsid w:val="00876E86"/>
    <w:rsid w:val="00876F19"/>
    <w:rsid w:val="00877368"/>
    <w:rsid w:val="00877399"/>
    <w:rsid w:val="008777AB"/>
    <w:rsid w:val="0087796A"/>
    <w:rsid w:val="00877E3F"/>
    <w:rsid w:val="00877F9B"/>
    <w:rsid w:val="00877FAD"/>
    <w:rsid w:val="008800C9"/>
    <w:rsid w:val="008808BC"/>
    <w:rsid w:val="00880A55"/>
    <w:rsid w:val="00880F69"/>
    <w:rsid w:val="008811E3"/>
    <w:rsid w:val="00881BEA"/>
    <w:rsid w:val="00881EB1"/>
    <w:rsid w:val="0088303A"/>
    <w:rsid w:val="00883085"/>
    <w:rsid w:val="008832EC"/>
    <w:rsid w:val="008838B4"/>
    <w:rsid w:val="00883BAC"/>
    <w:rsid w:val="00884232"/>
    <w:rsid w:val="0088429C"/>
    <w:rsid w:val="00884DF8"/>
    <w:rsid w:val="00885B64"/>
    <w:rsid w:val="00885BBC"/>
    <w:rsid w:val="0088675A"/>
    <w:rsid w:val="00886BE6"/>
    <w:rsid w:val="00887759"/>
    <w:rsid w:val="00887A94"/>
    <w:rsid w:val="00887B6A"/>
    <w:rsid w:val="00887DDB"/>
    <w:rsid w:val="00890081"/>
    <w:rsid w:val="008900F0"/>
    <w:rsid w:val="00890225"/>
    <w:rsid w:val="0089061F"/>
    <w:rsid w:val="00890A21"/>
    <w:rsid w:val="00890A50"/>
    <w:rsid w:val="00891360"/>
    <w:rsid w:val="0089194E"/>
    <w:rsid w:val="00892502"/>
    <w:rsid w:val="00892530"/>
    <w:rsid w:val="0089259D"/>
    <w:rsid w:val="00892F00"/>
    <w:rsid w:val="008930AE"/>
    <w:rsid w:val="0089318C"/>
    <w:rsid w:val="00893222"/>
    <w:rsid w:val="00893FD3"/>
    <w:rsid w:val="00894406"/>
    <w:rsid w:val="008944B8"/>
    <w:rsid w:val="00894B37"/>
    <w:rsid w:val="00894F9C"/>
    <w:rsid w:val="00895497"/>
    <w:rsid w:val="008954F5"/>
    <w:rsid w:val="008955CB"/>
    <w:rsid w:val="00895A8C"/>
    <w:rsid w:val="00895B48"/>
    <w:rsid w:val="00895B61"/>
    <w:rsid w:val="00895F71"/>
    <w:rsid w:val="00896442"/>
    <w:rsid w:val="008964AE"/>
    <w:rsid w:val="008965CF"/>
    <w:rsid w:val="008965EF"/>
    <w:rsid w:val="00896620"/>
    <w:rsid w:val="0089694B"/>
    <w:rsid w:val="00896EB9"/>
    <w:rsid w:val="00897178"/>
    <w:rsid w:val="00897348"/>
    <w:rsid w:val="00897430"/>
    <w:rsid w:val="008974DF"/>
    <w:rsid w:val="0089771D"/>
    <w:rsid w:val="00897C11"/>
    <w:rsid w:val="00897F29"/>
    <w:rsid w:val="008A0232"/>
    <w:rsid w:val="008A0E54"/>
    <w:rsid w:val="008A0E5A"/>
    <w:rsid w:val="008A144A"/>
    <w:rsid w:val="008A21FE"/>
    <w:rsid w:val="008A2688"/>
    <w:rsid w:val="008A2F3C"/>
    <w:rsid w:val="008A3449"/>
    <w:rsid w:val="008A36EB"/>
    <w:rsid w:val="008A38B1"/>
    <w:rsid w:val="008A3A37"/>
    <w:rsid w:val="008A3CA2"/>
    <w:rsid w:val="008A3D03"/>
    <w:rsid w:val="008A408A"/>
    <w:rsid w:val="008A41D9"/>
    <w:rsid w:val="008A435B"/>
    <w:rsid w:val="008A48C2"/>
    <w:rsid w:val="008A50B3"/>
    <w:rsid w:val="008A5388"/>
    <w:rsid w:val="008A5DD6"/>
    <w:rsid w:val="008A622D"/>
    <w:rsid w:val="008A658A"/>
    <w:rsid w:val="008A6594"/>
    <w:rsid w:val="008A668B"/>
    <w:rsid w:val="008A66C5"/>
    <w:rsid w:val="008A670D"/>
    <w:rsid w:val="008A6956"/>
    <w:rsid w:val="008A69A0"/>
    <w:rsid w:val="008A6E1D"/>
    <w:rsid w:val="008A6EEA"/>
    <w:rsid w:val="008A6F16"/>
    <w:rsid w:val="008A7062"/>
    <w:rsid w:val="008A7227"/>
    <w:rsid w:val="008A747F"/>
    <w:rsid w:val="008A770A"/>
    <w:rsid w:val="008A7880"/>
    <w:rsid w:val="008A79E0"/>
    <w:rsid w:val="008A7DC6"/>
    <w:rsid w:val="008A7EB6"/>
    <w:rsid w:val="008A7FD0"/>
    <w:rsid w:val="008B0604"/>
    <w:rsid w:val="008B0AC0"/>
    <w:rsid w:val="008B0E19"/>
    <w:rsid w:val="008B1139"/>
    <w:rsid w:val="008B12B0"/>
    <w:rsid w:val="008B1355"/>
    <w:rsid w:val="008B1649"/>
    <w:rsid w:val="008B16BB"/>
    <w:rsid w:val="008B1785"/>
    <w:rsid w:val="008B198E"/>
    <w:rsid w:val="008B2883"/>
    <w:rsid w:val="008B2EED"/>
    <w:rsid w:val="008B2FBD"/>
    <w:rsid w:val="008B327F"/>
    <w:rsid w:val="008B32C7"/>
    <w:rsid w:val="008B333E"/>
    <w:rsid w:val="008B3765"/>
    <w:rsid w:val="008B3A66"/>
    <w:rsid w:val="008B3C4D"/>
    <w:rsid w:val="008B4148"/>
    <w:rsid w:val="008B42B7"/>
    <w:rsid w:val="008B4579"/>
    <w:rsid w:val="008B4620"/>
    <w:rsid w:val="008B47E4"/>
    <w:rsid w:val="008B509B"/>
    <w:rsid w:val="008B5653"/>
    <w:rsid w:val="008B5665"/>
    <w:rsid w:val="008B5DA4"/>
    <w:rsid w:val="008B5E8B"/>
    <w:rsid w:val="008B6159"/>
    <w:rsid w:val="008B61A7"/>
    <w:rsid w:val="008B63EF"/>
    <w:rsid w:val="008B6BC0"/>
    <w:rsid w:val="008B72D7"/>
    <w:rsid w:val="008B7C15"/>
    <w:rsid w:val="008B7F95"/>
    <w:rsid w:val="008C0AD0"/>
    <w:rsid w:val="008C0E9B"/>
    <w:rsid w:val="008C1773"/>
    <w:rsid w:val="008C18B3"/>
    <w:rsid w:val="008C1EFD"/>
    <w:rsid w:val="008C1F3C"/>
    <w:rsid w:val="008C2037"/>
    <w:rsid w:val="008C239A"/>
    <w:rsid w:val="008C297D"/>
    <w:rsid w:val="008C3044"/>
    <w:rsid w:val="008C374F"/>
    <w:rsid w:val="008C3A8B"/>
    <w:rsid w:val="008C3B87"/>
    <w:rsid w:val="008C3CE5"/>
    <w:rsid w:val="008C42C1"/>
    <w:rsid w:val="008C4C66"/>
    <w:rsid w:val="008C5141"/>
    <w:rsid w:val="008C5306"/>
    <w:rsid w:val="008C5433"/>
    <w:rsid w:val="008C6C65"/>
    <w:rsid w:val="008C6CD5"/>
    <w:rsid w:val="008C752A"/>
    <w:rsid w:val="008C781D"/>
    <w:rsid w:val="008D0621"/>
    <w:rsid w:val="008D064C"/>
    <w:rsid w:val="008D075B"/>
    <w:rsid w:val="008D0ACC"/>
    <w:rsid w:val="008D0D02"/>
    <w:rsid w:val="008D1BC9"/>
    <w:rsid w:val="008D1FC9"/>
    <w:rsid w:val="008D2883"/>
    <w:rsid w:val="008D2B6D"/>
    <w:rsid w:val="008D412C"/>
    <w:rsid w:val="008D4136"/>
    <w:rsid w:val="008D4F2B"/>
    <w:rsid w:val="008D570D"/>
    <w:rsid w:val="008D5959"/>
    <w:rsid w:val="008D596E"/>
    <w:rsid w:val="008D65A7"/>
    <w:rsid w:val="008D6614"/>
    <w:rsid w:val="008D6916"/>
    <w:rsid w:val="008D6CF5"/>
    <w:rsid w:val="008D70CC"/>
    <w:rsid w:val="008D7129"/>
    <w:rsid w:val="008D7416"/>
    <w:rsid w:val="008D750F"/>
    <w:rsid w:val="008D78B7"/>
    <w:rsid w:val="008E0161"/>
    <w:rsid w:val="008E0AD1"/>
    <w:rsid w:val="008E0E76"/>
    <w:rsid w:val="008E1440"/>
    <w:rsid w:val="008E1941"/>
    <w:rsid w:val="008E258A"/>
    <w:rsid w:val="008E2DCA"/>
    <w:rsid w:val="008E2E53"/>
    <w:rsid w:val="008E311C"/>
    <w:rsid w:val="008E31E3"/>
    <w:rsid w:val="008E3ABA"/>
    <w:rsid w:val="008E3C7A"/>
    <w:rsid w:val="008E3DAE"/>
    <w:rsid w:val="008E3FA7"/>
    <w:rsid w:val="008E4034"/>
    <w:rsid w:val="008E4463"/>
    <w:rsid w:val="008E473E"/>
    <w:rsid w:val="008E4B3C"/>
    <w:rsid w:val="008E543B"/>
    <w:rsid w:val="008E5766"/>
    <w:rsid w:val="008E5D3F"/>
    <w:rsid w:val="008E5E80"/>
    <w:rsid w:val="008E60EB"/>
    <w:rsid w:val="008E6443"/>
    <w:rsid w:val="008E7386"/>
    <w:rsid w:val="008E7BA3"/>
    <w:rsid w:val="008E7E66"/>
    <w:rsid w:val="008E7E8A"/>
    <w:rsid w:val="008F0957"/>
    <w:rsid w:val="008F2127"/>
    <w:rsid w:val="008F2648"/>
    <w:rsid w:val="008F2D49"/>
    <w:rsid w:val="008F3116"/>
    <w:rsid w:val="008F320D"/>
    <w:rsid w:val="008F3855"/>
    <w:rsid w:val="008F39FB"/>
    <w:rsid w:val="008F3AB3"/>
    <w:rsid w:val="008F4C74"/>
    <w:rsid w:val="008F4DA1"/>
    <w:rsid w:val="008F4E15"/>
    <w:rsid w:val="008F4F5D"/>
    <w:rsid w:val="008F6487"/>
    <w:rsid w:val="008F65CA"/>
    <w:rsid w:val="008F6759"/>
    <w:rsid w:val="008F68EA"/>
    <w:rsid w:val="008F709A"/>
    <w:rsid w:val="008F73E2"/>
    <w:rsid w:val="008F7460"/>
    <w:rsid w:val="008F7A8B"/>
    <w:rsid w:val="008F7BBC"/>
    <w:rsid w:val="008F7BD6"/>
    <w:rsid w:val="008F7D0C"/>
    <w:rsid w:val="0090059F"/>
    <w:rsid w:val="009005CB"/>
    <w:rsid w:val="009006FF"/>
    <w:rsid w:val="009007D0"/>
    <w:rsid w:val="00900840"/>
    <w:rsid w:val="00900902"/>
    <w:rsid w:val="0090095A"/>
    <w:rsid w:val="00900E60"/>
    <w:rsid w:val="0090141A"/>
    <w:rsid w:val="00901D3D"/>
    <w:rsid w:val="00901ED2"/>
    <w:rsid w:val="00902756"/>
    <w:rsid w:val="00902764"/>
    <w:rsid w:val="009028C9"/>
    <w:rsid w:val="00902CAD"/>
    <w:rsid w:val="00902CD9"/>
    <w:rsid w:val="00902D1F"/>
    <w:rsid w:val="009032D7"/>
    <w:rsid w:val="009035F6"/>
    <w:rsid w:val="00903EC1"/>
    <w:rsid w:val="009042CA"/>
    <w:rsid w:val="00904698"/>
    <w:rsid w:val="009052C0"/>
    <w:rsid w:val="00905FD6"/>
    <w:rsid w:val="009060D2"/>
    <w:rsid w:val="00906260"/>
    <w:rsid w:val="0090637C"/>
    <w:rsid w:val="009065F3"/>
    <w:rsid w:val="009069E2"/>
    <w:rsid w:val="00906C9A"/>
    <w:rsid w:val="00906FD1"/>
    <w:rsid w:val="00907192"/>
    <w:rsid w:val="009072F0"/>
    <w:rsid w:val="00907423"/>
    <w:rsid w:val="00907618"/>
    <w:rsid w:val="00907750"/>
    <w:rsid w:val="009079B3"/>
    <w:rsid w:val="00907B07"/>
    <w:rsid w:val="00907CC8"/>
    <w:rsid w:val="00907D16"/>
    <w:rsid w:val="00910C18"/>
    <w:rsid w:val="0091160D"/>
    <w:rsid w:val="00911761"/>
    <w:rsid w:val="00911B25"/>
    <w:rsid w:val="00911F9E"/>
    <w:rsid w:val="009125BD"/>
    <w:rsid w:val="00912763"/>
    <w:rsid w:val="00912D8C"/>
    <w:rsid w:val="009131C9"/>
    <w:rsid w:val="00913266"/>
    <w:rsid w:val="009135AF"/>
    <w:rsid w:val="00913663"/>
    <w:rsid w:val="009136F0"/>
    <w:rsid w:val="00913933"/>
    <w:rsid w:val="009139D6"/>
    <w:rsid w:val="0091416B"/>
    <w:rsid w:val="00914608"/>
    <w:rsid w:val="009147B0"/>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47"/>
    <w:rsid w:val="0091729A"/>
    <w:rsid w:val="009172D6"/>
    <w:rsid w:val="00917709"/>
    <w:rsid w:val="009204A6"/>
    <w:rsid w:val="0092089D"/>
    <w:rsid w:val="009208E9"/>
    <w:rsid w:val="00920F36"/>
    <w:rsid w:val="00920FCD"/>
    <w:rsid w:val="00921AE4"/>
    <w:rsid w:val="00921BC7"/>
    <w:rsid w:val="009229F6"/>
    <w:rsid w:val="00922B9F"/>
    <w:rsid w:val="00922CE9"/>
    <w:rsid w:val="009230ED"/>
    <w:rsid w:val="009235C1"/>
    <w:rsid w:val="00923C33"/>
    <w:rsid w:val="00923CEE"/>
    <w:rsid w:val="00923F52"/>
    <w:rsid w:val="00924806"/>
    <w:rsid w:val="00925128"/>
    <w:rsid w:val="009256D8"/>
    <w:rsid w:val="00925778"/>
    <w:rsid w:val="00925E0E"/>
    <w:rsid w:val="00925EF4"/>
    <w:rsid w:val="00925F05"/>
    <w:rsid w:val="00926238"/>
    <w:rsid w:val="00926484"/>
    <w:rsid w:val="0092657D"/>
    <w:rsid w:val="0092675E"/>
    <w:rsid w:val="00926A4B"/>
    <w:rsid w:val="009279D6"/>
    <w:rsid w:val="00927C3E"/>
    <w:rsid w:val="00927C84"/>
    <w:rsid w:val="00927DC4"/>
    <w:rsid w:val="00927DE1"/>
    <w:rsid w:val="00927FCB"/>
    <w:rsid w:val="0093009C"/>
    <w:rsid w:val="00930305"/>
    <w:rsid w:val="009308FD"/>
    <w:rsid w:val="009309BD"/>
    <w:rsid w:val="00931C3E"/>
    <w:rsid w:val="009320A7"/>
    <w:rsid w:val="00932341"/>
    <w:rsid w:val="00932914"/>
    <w:rsid w:val="00932F43"/>
    <w:rsid w:val="0093334A"/>
    <w:rsid w:val="00933B1E"/>
    <w:rsid w:val="0093456C"/>
    <w:rsid w:val="009347AE"/>
    <w:rsid w:val="00935C04"/>
    <w:rsid w:val="00935C8D"/>
    <w:rsid w:val="009371EE"/>
    <w:rsid w:val="009378B9"/>
    <w:rsid w:val="009378D0"/>
    <w:rsid w:val="00937A38"/>
    <w:rsid w:val="00937A52"/>
    <w:rsid w:val="009403E3"/>
    <w:rsid w:val="00940793"/>
    <w:rsid w:val="0094098E"/>
    <w:rsid w:val="00940E87"/>
    <w:rsid w:val="00940F2E"/>
    <w:rsid w:val="0094123D"/>
    <w:rsid w:val="00941821"/>
    <w:rsid w:val="0094186C"/>
    <w:rsid w:val="00941A5E"/>
    <w:rsid w:val="00941C5B"/>
    <w:rsid w:val="00942701"/>
    <w:rsid w:val="0094276B"/>
    <w:rsid w:val="00942AB8"/>
    <w:rsid w:val="00942AC6"/>
    <w:rsid w:val="009431BF"/>
    <w:rsid w:val="009438B4"/>
    <w:rsid w:val="0094399F"/>
    <w:rsid w:val="00943A8C"/>
    <w:rsid w:val="00943D98"/>
    <w:rsid w:val="00943E44"/>
    <w:rsid w:val="00944184"/>
    <w:rsid w:val="00944505"/>
    <w:rsid w:val="0094452B"/>
    <w:rsid w:val="0094494F"/>
    <w:rsid w:val="00945245"/>
    <w:rsid w:val="00945446"/>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FB6"/>
    <w:rsid w:val="009524AA"/>
    <w:rsid w:val="00952677"/>
    <w:rsid w:val="00953142"/>
    <w:rsid w:val="0095324C"/>
    <w:rsid w:val="009536EF"/>
    <w:rsid w:val="009538B7"/>
    <w:rsid w:val="009544C1"/>
    <w:rsid w:val="00954804"/>
    <w:rsid w:val="009554CE"/>
    <w:rsid w:val="00955715"/>
    <w:rsid w:val="009558A9"/>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DCC"/>
    <w:rsid w:val="00960E7D"/>
    <w:rsid w:val="00961324"/>
    <w:rsid w:val="0096203C"/>
    <w:rsid w:val="009622BD"/>
    <w:rsid w:val="0096298F"/>
    <w:rsid w:val="00962B73"/>
    <w:rsid w:val="00962CA1"/>
    <w:rsid w:val="00962E00"/>
    <w:rsid w:val="00962E5A"/>
    <w:rsid w:val="00963364"/>
    <w:rsid w:val="00963371"/>
    <w:rsid w:val="009633EC"/>
    <w:rsid w:val="00963F34"/>
    <w:rsid w:val="009640AC"/>
    <w:rsid w:val="00964591"/>
    <w:rsid w:val="00964598"/>
    <w:rsid w:val="0096474E"/>
    <w:rsid w:val="00964DD6"/>
    <w:rsid w:val="00964F8D"/>
    <w:rsid w:val="009651EA"/>
    <w:rsid w:val="009653D7"/>
    <w:rsid w:val="009655C5"/>
    <w:rsid w:val="00965630"/>
    <w:rsid w:val="009659D3"/>
    <w:rsid w:val="00965A84"/>
    <w:rsid w:val="00965E38"/>
    <w:rsid w:val="00965E76"/>
    <w:rsid w:val="009662BC"/>
    <w:rsid w:val="00966328"/>
    <w:rsid w:val="0096646F"/>
    <w:rsid w:val="00966694"/>
    <w:rsid w:val="009668B2"/>
    <w:rsid w:val="009669FC"/>
    <w:rsid w:val="00966F04"/>
    <w:rsid w:val="009671D2"/>
    <w:rsid w:val="009676FA"/>
    <w:rsid w:val="00967E63"/>
    <w:rsid w:val="00967F0F"/>
    <w:rsid w:val="00970163"/>
    <w:rsid w:val="0097033D"/>
    <w:rsid w:val="00970402"/>
    <w:rsid w:val="00970655"/>
    <w:rsid w:val="00970A78"/>
    <w:rsid w:val="00970BE7"/>
    <w:rsid w:val="00970C01"/>
    <w:rsid w:val="00971009"/>
    <w:rsid w:val="0097124D"/>
    <w:rsid w:val="00971891"/>
    <w:rsid w:val="00971F4B"/>
    <w:rsid w:val="009722C0"/>
    <w:rsid w:val="0097294C"/>
    <w:rsid w:val="009729D8"/>
    <w:rsid w:val="00972F09"/>
    <w:rsid w:val="009730B0"/>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6AB"/>
    <w:rsid w:val="00977AC4"/>
    <w:rsid w:val="0098064B"/>
    <w:rsid w:val="00980779"/>
    <w:rsid w:val="00980C49"/>
    <w:rsid w:val="009813F4"/>
    <w:rsid w:val="00981886"/>
    <w:rsid w:val="00981A3F"/>
    <w:rsid w:val="00981B60"/>
    <w:rsid w:val="0098210E"/>
    <w:rsid w:val="009821C3"/>
    <w:rsid w:val="00982B5D"/>
    <w:rsid w:val="00982B6B"/>
    <w:rsid w:val="00982D03"/>
    <w:rsid w:val="00982DE5"/>
    <w:rsid w:val="00982E2E"/>
    <w:rsid w:val="00982E5E"/>
    <w:rsid w:val="00984045"/>
    <w:rsid w:val="009840F0"/>
    <w:rsid w:val="00984531"/>
    <w:rsid w:val="0098483C"/>
    <w:rsid w:val="00984BF2"/>
    <w:rsid w:val="00984D1E"/>
    <w:rsid w:val="00984EE6"/>
    <w:rsid w:val="009853FC"/>
    <w:rsid w:val="009859BB"/>
    <w:rsid w:val="00985B69"/>
    <w:rsid w:val="00985BE7"/>
    <w:rsid w:val="009860BB"/>
    <w:rsid w:val="00986AD8"/>
    <w:rsid w:val="009870BD"/>
    <w:rsid w:val="00990036"/>
    <w:rsid w:val="00990058"/>
    <w:rsid w:val="009914BB"/>
    <w:rsid w:val="00991788"/>
    <w:rsid w:val="00991D9D"/>
    <w:rsid w:val="00991FDB"/>
    <w:rsid w:val="0099214A"/>
    <w:rsid w:val="00992C26"/>
    <w:rsid w:val="00992E5F"/>
    <w:rsid w:val="00992EC8"/>
    <w:rsid w:val="009932EB"/>
    <w:rsid w:val="00993B79"/>
    <w:rsid w:val="00993CAE"/>
    <w:rsid w:val="00993EA7"/>
    <w:rsid w:val="00994498"/>
    <w:rsid w:val="0099494A"/>
    <w:rsid w:val="00994C12"/>
    <w:rsid w:val="00994D8E"/>
    <w:rsid w:val="00994E56"/>
    <w:rsid w:val="00995C10"/>
    <w:rsid w:val="00995C43"/>
    <w:rsid w:val="00995E7B"/>
    <w:rsid w:val="00996127"/>
    <w:rsid w:val="009961AE"/>
    <w:rsid w:val="009964AA"/>
    <w:rsid w:val="009964EE"/>
    <w:rsid w:val="009966C4"/>
    <w:rsid w:val="00996C72"/>
    <w:rsid w:val="00996F1C"/>
    <w:rsid w:val="00996F4F"/>
    <w:rsid w:val="0099707A"/>
    <w:rsid w:val="009971B4"/>
    <w:rsid w:val="009978E2"/>
    <w:rsid w:val="009A01EC"/>
    <w:rsid w:val="009A027E"/>
    <w:rsid w:val="009A0402"/>
    <w:rsid w:val="009A1DD4"/>
    <w:rsid w:val="009A225B"/>
    <w:rsid w:val="009A22A0"/>
    <w:rsid w:val="009A33F5"/>
    <w:rsid w:val="009A34FC"/>
    <w:rsid w:val="009A3685"/>
    <w:rsid w:val="009A3745"/>
    <w:rsid w:val="009A3B64"/>
    <w:rsid w:val="009A3FB2"/>
    <w:rsid w:val="009A4689"/>
    <w:rsid w:val="009A47CF"/>
    <w:rsid w:val="009A47D7"/>
    <w:rsid w:val="009A4F1E"/>
    <w:rsid w:val="009A517B"/>
    <w:rsid w:val="009A52CE"/>
    <w:rsid w:val="009A5324"/>
    <w:rsid w:val="009A555F"/>
    <w:rsid w:val="009A5D4A"/>
    <w:rsid w:val="009A6064"/>
    <w:rsid w:val="009A621A"/>
    <w:rsid w:val="009A6846"/>
    <w:rsid w:val="009A6AF9"/>
    <w:rsid w:val="009A7374"/>
    <w:rsid w:val="009A7DDB"/>
    <w:rsid w:val="009A7E41"/>
    <w:rsid w:val="009B014A"/>
    <w:rsid w:val="009B0532"/>
    <w:rsid w:val="009B0D27"/>
    <w:rsid w:val="009B0DF8"/>
    <w:rsid w:val="009B118C"/>
    <w:rsid w:val="009B18E3"/>
    <w:rsid w:val="009B22F7"/>
    <w:rsid w:val="009B236D"/>
    <w:rsid w:val="009B2A3B"/>
    <w:rsid w:val="009B2C0B"/>
    <w:rsid w:val="009B3555"/>
    <w:rsid w:val="009B3749"/>
    <w:rsid w:val="009B39B5"/>
    <w:rsid w:val="009B3BCB"/>
    <w:rsid w:val="009B455A"/>
    <w:rsid w:val="009B4C4B"/>
    <w:rsid w:val="009B5273"/>
    <w:rsid w:val="009B5301"/>
    <w:rsid w:val="009B6337"/>
    <w:rsid w:val="009B645A"/>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6DE3"/>
    <w:rsid w:val="009C71C7"/>
    <w:rsid w:val="009C79D5"/>
    <w:rsid w:val="009C7A27"/>
    <w:rsid w:val="009D00B3"/>
    <w:rsid w:val="009D0A13"/>
    <w:rsid w:val="009D0D27"/>
    <w:rsid w:val="009D12B4"/>
    <w:rsid w:val="009D1332"/>
    <w:rsid w:val="009D1364"/>
    <w:rsid w:val="009D1520"/>
    <w:rsid w:val="009D1AB5"/>
    <w:rsid w:val="009D1F33"/>
    <w:rsid w:val="009D1F5E"/>
    <w:rsid w:val="009D2114"/>
    <w:rsid w:val="009D2270"/>
    <w:rsid w:val="009D2770"/>
    <w:rsid w:val="009D311C"/>
    <w:rsid w:val="009D353A"/>
    <w:rsid w:val="009D3A02"/>
    <w:rsid w:val="009D3AEA"/>
    <w:rsid w:val="009D3CEA"/>
    <w:rsid w:val="009D3E83"/>
    <w:rsid w:val="009D4D01"/>
    <w:rsid w:val="009D4F18"/>
    <w:rsid w:val="009D545A"/>
    <w:rsid w:val="009D5474"/>
    <w:rsid w:val="009D57F8"/>
    <w:rsid w:val="009D587A"/>
    <w:rsid w:val="009D5D11"/>
    <w:rsid w:val="009D5F1D"/>
    <w:rsid w:val="009D65DD"/>
    <w:rsid w:val="009D6715"/>
    <w:rsid w:val="009D683F"/>
    <w:rsid w:val="009D6DD9"/>
    <w:rsid w:val="009D77CA"/>
    <w:rsid w:val="009D7B6E"/>
    <w:rsid w:val="009D7BE4"/>
    <w:rsid w:val="009D7EDC"/>
    <w:rsid w:val="009E0C62"/>
    <w:rsid w:val="009E0C76"/>
    <w:rsid w:val="009E0D26"/>
    <w:rsid w:val="009E1E79"/>
    <w:rsid w:val="009E1FFF"/>
    <w:rsid w:val="009E2840"/>
    <w:rsid w:val="009E2888"/>
    <w:rsid w:val="009E2A59"/>
    <w:rsid w:val="009E2F44"/>
    <w:rsid w:val="009E32AD"/>
    <w:rsid w:val="009E3B95"/>
    <w:rsid w:val="009E3C69"/>
    <w:rsid w:val="009E3D63"/>
    <w:rsid w:val="009E3E1F"/>
    <w:rsid w:val="009E4240"/>
    <w:rsid w:val="009E4CE8"/>
    <w:rsid w:val="009E4EA7"/>
    <w:rsid w:val="009E51A1"/>
    <w:rsid w:val="009E533A"/>
    <w:rsid w:val="009E57AF"/>
    <w:rsid w:val="009E5CBF"/>
    <w:rsid w:val="009E60BA"/>
    <w:rsid w:val="009E6B44"/>
    <w:rsid w:val="009E74D1"/>
    <w:rsid w:val="009E7563"/>
    <w:rsid w:val="009E7687"/>
    <w:rsid w:val="009E7A05"/>
    <w:rsid w:val="009E7AFB"/>
    <w:rsid w:val="009E7C05"/>
    <w:rsid w:val="009F002B"/>
    <w:rsid w:val="009F0593"/>
    <w:rsid w:val="009F0F7F"/>
    <w:rsid w:val="009F0FE8"/>
    <w:rsid w:val="009F1131"/>
    <w:rsid w:val="009F128F"/>
    <w:rsid w:val="009F14EF"/>
    <w:rsid w:val="009F157D"/>
    <w:rsid w:val="009F2087"/>
    <w:rsid w:val="009F208F"/>
    <w:rsid w:val="009F2155"/>
    <w:rsid w:val="009F2273"/>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682"/>
    <w:rsid w:val="009F58E2"/>
    <w:rsid w:val="009F59D9"/>
    <w:rsid w:val="009F5BF9"/>
    <w:rsid w:val="009F5D4F"/>
    <w:rsid w:val="009F5DD3"/>
    <w:rsid w:val="009F6352"/>
    <w:rsid w:val="009F7B92"/>
    <w:rsid w:val="009F7FC2"/>
    <w:rsid w:val="00A00007"/>
    <w:rsid w:val="00A00333"/>
    <w:rsid w:val="00A0067C"/>
    <w:rsid w:val="00A00811"/>
    <w:rsid w:val="00A009A1"/>
    <w:rsid w:val="00A00BAC"/>
    <w:rsid w:val="00A01050"/>
    <w:rsid w:val="00A0123C"/>
    <w:rsid w:val="00A0127B"/>
    <w:rsid w:val="00A0139B"/>
    <w:rsid w:val="00A013E1"/>
    <w:rsid w:val="00A01AF8"/>
    <w:rsid w:val="00A01E92"/>
    <w:rsid w:val="00A024A9"/>
    <w:rsid w:val="00A0258E"/>
    <w:rsid w:val="00A0297E"/>
    <w:rsid w:val="00A02E53"/>
    <w:rsid w:val="00A03500"/>
    <w:rsid w:val="00A0384F"/>
    <w:rsid w:val="00A03B99"/>
    <w:rsid w:val="00A040E1"/>
    <w:rsid w:val="00A042F8"/>
    <w:rsid w:val="00A0432B"/>
    <w:rsid w:val="00A04BDB"/>
    <w:rsid w:val="00A04E73"/>
    <w:rsid w:val="00A052CF"/>
    <w:rsid w:val="00A054AA"/>
    <w:rsid w:val="00A0586A"/>
    <w:rsid w:val="00A05B3C"/>
    <w:rsid w:val="00A063B2"/>
    <w:rsid w:val="00A06663"/>
    <w:rsid w:val="00A067D4"/>
    <w:rsid w:val="00A068C9"/>
    <w:rsid w:val="00A06921"/>
    <w:rsid w:val="00A06C15"/>
    <w:rsid w:val="00A06D49"/>
    <w:rsid w:val="00A07437"/>
    <w:rsid w:val="00A077FD"/>
    <w:rsid w:val="00A07E07"/>
    <w:rsid w:val="00A102C6"/>
    <w:rsid w:val="00A10304"/>
    <w:rsid w:val="00A10637"/>
    <w:rsid w:val="00A107E1"/>
    <w:rsid w:val="00A108DE"/>
    <w:rsid w:val="00A11299"/>
    <w:rsid w:val="00A11B24"/>
    <w:rsid w:val="00A11E9C"/>
    <w:rsid w:val="00A125FD"/>
    <w:rsid w:val="00A127EE"/>
    <w:rsid w:val="00A12AF7"/>
    <w:rsid w:val="00A12C9A"/>
    <w:rsid w:val="00A12CB5"/>
    <w:rsid w:val="00A12E9D"/>
    <w:rsid w:val="00A13747"/>
    <w:rsid w:val="00A13B02"/>
    <w:rsid w:val="00A13B3B"/>
    <w:rsid w:val="00A1468A"/>
    <w:rsid w:val="00A147AD"/>
    <w:rsid w:val="00A1532F"/>
    <w:rsid w:val="00A15803"/>
    <w:rsid w:val="00A16123"/>
    <w:rsid w:val="00A16821"/>
    <w:rsid w:val="00A16A61"/>
    <w:rsid w:val="00A16B41"/>
    <w:rsid w:val="00A16DD9"/>
    <w:rsid w:val="00A16EAC"/>
    <w:rsid w:val="00A17201"/>
    <w:rsid w:val="00A172BB"/>
    <w:rsid w:val="00A175FF"/>
    <w:rsid w:val="00A17652"/>
    <w:rsid w:val="00A178C0"/>
    <w:rsid w:val="00A178DA"/>
    <w:rsid w:val="00A202A9"/>
    <w:rsid w:val="00A20A36"/>
    <w:rsid w:val="00A20ECB"/>
    <w:rsid w:val="00A2126D"/>
    <w:rsid w:val="00A215A5"/>
    <w:rsid w:val="00A21996"/>
    <w:rsid w:val="00A223D7"/>
    <w:rsid w:val="00A2241F"/>
    <w:rsid w:val="00A224AD"/>
    <w:rsid w:val="00A2251D"/>
    <w:rsid w:val="00A22CA0"/>
    <w:rsid w:val="00A236BA"/>
    <w:rsid w:val="00A240D4"/>
    <w:rsid w:val="00A24F4A"/>
    <w:rsid w:val="00A253E1"/>
    <w:rsid w:val="00A254A8"/>
    <w:rsid w:val="00A258CE"/>
    <w:rsid w:val="00A259DB"/>
    <w:rsid w:val="00A2635C"/>
    <w:rsid w:val="00A2669F"/>
    <w:rsid w:val="00A26BBB"/>
    <w:rsid w:val="00A273DD"/>
    <w:rsid w:val="00A27965"/>
    <w:rsid w:val="00A27A99"/>
    <w:rsid w:val="00A27D06"/>
    <w:rsid w:val="00A31567"/>
    <w:rsid w:val="00A32A9D"/>
    <w:rsid w:val="00A32B0A"/>
    <w:rsid w:val="00A32D29"/>
    <w:rsid w:val="00A332F9"/>
    <w:rsid w:val="00A33AF8"/>
    <w:rsid w:val="00A33C66"/>
    <w:rsid w:val="00A33FE1"/>
    <w:rsid w:val="00A344AD"/>
    <w:rsid w:val="00A34873"/>
    <w:rsid w:val="00A354CF"/>
    <w:rsid w:val="00A362A1"/>
    <w:rsid w:val="00A362DE"/>
    <w:rsid w:val="00A3641F"/>
    <w:rsid w:val="00A3654F"/>
    <w:rsid w:val="00A367F8"/>
    <w:rsid w:val="00A36A7D"/>
    <w:rsid w:val="00A37423"/>
    <w:rsid w:val="00A379C5"/>
    <w:rsid w:val="00A37A30"/>
    <w:rsid w:val="00A37B09"/>
    <w:rsid w:val="00A37BD2"/>
    <w:rsid w:val="00A37E1A"/>
    <w:rsid w:val="00A40080"/>
    <w:rsid w:val="00A40E32"/>
    <w:rsid w:val="00A41160"/>
    <w:rsid w:val="00A412B1"/>
    <w:rsid w:val="00A413CD"/>
    <w:rsid w:val="00A418C3"/>
    <w:rsid w:val="00A4258D"/>
    <w:rsid w:val="00A427E2"/>
    <w:rsid w:val="00A42882"/>
    <w:rsid w:val="00A42919"/>
    <w:rsid w:val="00A429EE"/>
    <w:rsid w:val="00A42A73"/>
    <w:rsid w:val="00A434E2"/>
    <w:rsid w:val="00A4353A"/>
    <w:rsid w:val="00A438D8"/>
    <w:rsid w:val="00A439FD"/>
    <w:rsid w:val="00A43D72"/>
    <w:rsid w:val="00A43D7F"/>
    <w:rsid w:val="00A4402D"/>
    <w:rsid w:val="00A448CA"/>
    <w:rsid w:val="00A44F38"/>
    <w:rsid w:val="00A44F61"/>
    <w:rsid w:val="00A456FC"/>
    <w:rsid w:val="00A4624F"/>
    <w:rsid w:val="00A464CB"/>
    <w:rsid w:val="00A467B6"/>
    <w:rsid w:val="00A46940"/>
    <w:rsid w:val="00A46A07"/>
    <w:rsid w:val="00A46B72"/>
    <w:rsid w:val="00A46BBC"/>
    <w:rsid w:val="00A46D4D"/>
    <w:rsid w:val="00A47370"/>
    <w:rsid w:val="00A4738E"/>
    <w:rsid w:val="00A4758B"/>
    <w:rsid w:val="00A4792B"/>
    <w:rsid w:val="00A47E40"/>
    <w:rsid w:val="00A47F3F"/>
    <w:rsid w:val="00A50265"/>
    <w:rsid w:val="00A506D1"/>
    <w:rsid w:val="00A5089F"/>
    <w:rsid w:val="00A50AF8"/>
    <w:rsid w:val="00A50BA1"/>
    <w:rsid w:val="00A50FA1"/>
    <w:rsid w:val="00A51031"/>
    <w:rsid w:val="00A52347"/>
    <w:rsid w:val="00A52727"/>
    <w:rsid w:val="00A52A85"/>
    <w:rsid w:val="00A535EE"/>
    <w:rsid w:val="00A53724"/>
    <w:rsid w:val="00A53BE2"/>
    <w:rsid w:val="00A53E20"/>
    <w:rsid w:val="00A54C26"/>
    <w:rsid w:val="00A54EF6"/>
    <w:rsid w:val="00A55324"/>
    <w:rsid w:val="00A55705"/>
    <w:rsid w:val="00A558DA"/>
    <w:rsid w:val="00A55F25"/>
    <w:rsid w:val="00A56099"/>
    <w:rsid w:val="00A5653D"/>
    <w:rsid w:val="00A56716"/>
    <w:rsid w:val="00A56783"/>
    <w:rsid w:val="00A56A12"/>
    <w:rsid w:val="00A56A39"/>
    <w:rsid w:val="00A56D05"/>
    <w:rsid w:val="00A56F5A"/>
    <w:rsid w:val="00A572F7"/>
    <w:rsid w:val="00A573BF"/>
    <w:rsid w:val="00A57486"/>
    <w:rsid w:val="00A57943"/>
    <w:rsid w:val="00A57B65"/>
    <w:rsid w:val="00A57C5B"/>
    <w:rsid w:val="00A60246"/>
    <w:rsid w:val="00A60352"/>
    <w:rsid w:val="00A603D0"/>
    <w:rsid w:val="00A60E16"/>
    <w:rsid w:val="00A61073"/>
    <w:rsid w:val="00A61083"/>
    <w:rsid w:val="00A614D9"/>
    <w:rsid w:val="00A61CFC"/>
    <w:rsid w:val="00A61D44"/>
    <w:rsid w:val="00A620BD"/>
    <w:rsid w:val="00A62481"/>
    <w:rsid w:val="00A626E3"/>
    <w:rsid w:val="00A627A9"/>
    <w:rsid w:val="00A62EA5"/>
    <w:rsid w:val="00A62F47"/>
    <w:rsid w:val="00A62F52"/>
    <w:rsid w:val="00A6391B"/>
    <w:rsid w:val="00A63AE1"/>
    <w:rsid w:val="00A63B7D"/>
    <w:rsid w:val="00A64114"/>
    <w:rsid w:val="00A641DD"/>
    <w:rsid w:val="00A643F5"/>
    <w:rsid w:val="00A64441"/>
    <w:rsid w:val="00A651C0"/>
    <w:rsid w:val="00A65601"/>
    <w:rsid w:val="00A658C2"/>
    <w:rsid w:val="00A65CEC"/>
    <w:rsid w:val="00A66689"/>
    <w:rsid w:val="00A66F26"/>
    <w:rsid w:val="00A67065"/>
    <w:rsid w:val="00A67278"/>
    <w:rsid w:val="00A672BA"/>
    <w:rsid w:val="00A672E4"/>
    <w:rsid w:val="00A6758C"/>
    <w:rsid w:val="00A6766B"/>
    <w:rsid w:val="00A678B0"/>
    <w:rsid w:val="00A67A2F"/>
    <w:rsid w:val="00A67EFB"/>
    <w:rsid w:val="00A67FCA"/>
    <w:rsid w:val="00A701C7"/>
    <w:rsid w:val="00A704A2"/>
    <w:rsid w:val="00A7051B"/>
    <w:rsid w:val="00A7052A"/>
    <w:rsid w:val="00A70C55"/>
    <w:rsid w:val="00A718BA"/>
    <w:rsid w:val="00A71B3F"/>
    <w:rsid w:val="00A71DFD"/>
    <w:rsid w:val="00A7214E"/>
    <w:rsid w:val="00A727FC"/>
    <w:rsid w:val="00A73063"/>
    <w:rsid w:val="00A73136"/>
    <w:rsid w:val="00A73FBA"/>
    <w:rsid w:val="00A74426"/>
    <w:rsid w:val="00A747C8"/>
    <w:rsid w:val="00A74B26"/>
    <w:rsid w:val="00A74BDB"/>
    <w:rsid w:val="00A753EB"/>
    <w:rsid w:val="00A75406"/>
    <w:rsid w:val="00A75791"/>
    <w:rsid w:val="00A7610C"/>
    <w:rsid w:val="00A762ED"/>
    <w:rsid w:val="00A7681C"/>
    <w:rsid w:val="00A772A4"/>
    <w:rsid w:val="00A7736B"/>
    <w:rsid w:val="00A77855"/>
    <w:rsid w:val="00A77E94"/>
    <w:rsid w:val="00A80015"/>
    <w:rsid w:val="00A805C1"/>
    <w:rsid w:val="00A80617"/>
    <w:rsid w:val="00A80BFE"/>
    <w:rsid w:val="00A80CF1"/>
    <w:rsid w:val="00A80D4F"/>
    <w:rsid w:val="00A80DA7"/>
    <w:rsid w:val="00A8106D"/>
    <w:rsid w:val="00A81386"/>
    <w:rsid w:val="00A816F0"/>
    <w:rsid w:val="00A81DED"/>
    <w:rsid w:val="00A81DF9"/>
    <w:rsid w:val="00A81E89"/>
    <w:rsid w:val="00A82048"/>
    <w:rsid w:val="00A825E7"/>
    <w:rsid w:val="00A82604"/>
    <w:rsid w:val="00A83779"/>
    <w:rsid w:val="00A8380D"/>
    <w:rsid w:val="00A83A40"/>
    <w:rsid w:val="00A83C53"/>
    <w:rsid w:val="00A84073"/>
    <w:rsid w:val="00A841AE"/>
    <w:rsid w:val="00A84C9B"/>
    <w:rsid w:val="00A853DC"/>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52D"/>
    <w:rsid w:val="00A92BBE"/>
    <w:rsid w:val="00A92C28"/>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28E"/>
    <w:rsid w:val="00AA4361"/>
    <w:rsid w:val="00AA43A8"/>
    <w:rsid w:val="00AA48B8"/>
    <w:rsid w:val="00AA499C"/>
    <w:rsid w:val="00AA4D2D"/>
    <w:rsid w:val="00AA54AE"/>
    <w:rsid w:val="00AA5D24"/>
    <w:rsid w:val="00AA5FCA"/>
    <w:rsid w:val="00AA63F5"/>
    <w:rsid w:val="00AA67BA"/>
    <w:rsid w:val="00AA6FDD"/>
    <w:rsid w:val="00AA731F"/>
    <w:rsid w:val="00AA7B5F"/>
    <w:rsid w:val="00AA7D74"/>
    <w:rsid w:val="00AA7DB9"/>
    <w:rsid w:val="00AB029A"/>
    <w:rsid w:val="00AB08A5"/>
    <w:rsid w:val="00AB118C"/>
    <w:rsid w:val="00AB1376"/>
    <w:rsid w:val="00AB1A09"/>
    <w:rsid w:val="00AB1CAA"/>
    <w:rsid w:val="00AB1FBD"/>
    <w:rsid w:val="00AB2065"/>
    <w:rsid w:val="00AB2110"/>
    <w:rsid w:val="00AB25EE"/>
    <w:rsid w:val="00AB261C"/>
    <w:rsid w:val="00AB2A24"/>
    <w:rsid w:val="00AB2B29"/>
    <w:rsid w:val="00AB2F5A"/>
    <w:rsid w:val="00AB3918"/>
    <w:rsid w:val="00AB397E"/>
    <w:rsid w:val="00AB40DC"/>
    <w:rsid w:val="00AB4B62"/>
    <w:rsid w:val="00AB4DFB"/>
    <w:rsid w:val="00AB4FFE"/>
    <w:rsid w:val="00AB55C1"/>
    <w:rsid w:val="00AB60FC"/>
    <w:rsid w:val="00AB627C"/>
    <w:rsid w:val="00AB62EE"/>
    <w:rsid w:val="00AB64BE"/>
    <w:rsid w:val="00AB7227"/>
    <w:rsid w:val="00AB724C"/>
    <w:rsid w:val="00AB74AB"/>
    <w:rsid w:val="00AB79E5"/>
    <w:rsid w:val="00AC001A"/>
    <w:rsid w:val="00AC01AB"/>
    <w:rsid w:val="00AC08A3"/>
    <w:rsid w:val="00AC091D"/>
    <w:rsid w:val="00AC0ACC"/>
    <w:rsid w:val="00AC0B93"/>
    <w:rsid w:val="00AC0E5B"/>
    <w:rsid w:val="00AC11C8"/>
    <w:rsid w:val="00AC131B"/>
    <w:rsid w:val="00AC174A"/>
    <w:rsid w:val="00AC1AA7"/>
    <w:rsid w:val="00AC1C45"/>
    <w:rsid w:val="00AC1F31"/>
    <w:rsid w:val="00AC1FF9"/>
    <w:rsid w:val="00AC2484"/>
    <w:rsid w:val="00AC2590"/>
    <w:rsid w:val="00AC2744"/>
    <w:rsid w:val="00AC2A8F"/>
    <w:rsid w:val="00AC308B"/>
    <w:rsid w:val="00AC314A"/>
    <w:rsid w:val="00AC359F"/>
    <w:rsid w:val="00AC3A24"/>
    <w:rsid w:val="00AC42B5"/>
    <w:rsid w:val="00AC516B"/>
    <w:rsid w:val="00AC5217"/>
    <w:rsid w:val="00AC5565"/>
    <w:rsid w:val="00AC559C"/>
    <w:rsid w:val="00AC55B9"/>
    <w:rsid w:val="00AC56BA"/>
    <w:rsid w:val="00AC5FD6"/>
    <w:rsid w:val="00AC6056"/>
    <w:rsid w:val="00AC6394"/>
    <w:rsid w:val="00AC665B"/>
    <w:rsid w:val="00AC6D81"/>
    <w:rsid w:val="00AC6F69"/>
    <w:rsid w:val="00AC7697"/>
    <w:rsid w:val="00AC7AE6"/>
    <w:rsid w:val="00AD0B12"/>
    <w:rsid w:val="00AD0F0D"/>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98F"/>
    <w:rsid w:val="00AD5E2E"/>
    <w:rsid w:val="00AD6646"/>
    <w:rsid w:val="00AD6BE3"/>
    <w:rsid w:val="00AD6BE9"/>
    <w:rsid w:val="00AD70AE"/>
    <w:rsid w:val="00AD7547"/>
    <w:rsid w:val="00AD7738"/>
    <w:rsid w:val="00AD790F"/>
    <w:rsid w:val="00AE034F"/>
    <w:rsid w:val="00AE03A5"/>
    <w:rsid w:val="00AE0C50"/>
    <w:rsid w:val="00AE0CC4"/>
    <w:rsid w:val="00AE107E"/>
    <w:rsid w:val="00AE110D"/>
    <w:rsid w:val="00AE1128"/>
    <w:rsid w:val="00AE1B14"/>
    <w:rsid w:val="00AE1C07"/>
    <w:rsid w:val="00AE1C7F"/>
    <w:rsid w:val="00AE1D10"/>
    <w:rsid w:val="00AE27D0"/>
    <w:rsid w:val="00AE296B"/>
    <w:rsid w:val="00AE2990"/>
    <w:rsid w:val="00AE29B1"/>
    <w:rsid w:val="00AE3016"/>
    <w:rsid w:val="00AE3231"/>
    <w:rsid w:val="00AE38A3"/>
    <w:rsid w:val="00AE3AFA"/>
    <w:rsid w:val="00AE3DFF"/>
    <w:rsid w:val="00AE41FF"/>
    <w:rsid w:val="00AE46E8"/>
    <w:rsid w:val="00AE4FF3"/>
    <w:rsid w:val="00AE548C"/>
    <w:rsid w:val="00AE5A4D"/>
    <w:rsid w:val="00AE5EF6"/>
    <w:rsid w:val="00AE5F4E"/>
    <w:rsid w:val="00AE6251"/>
    <w:rsid w:val="00AE636E"/>
    <w:rsid w:val="00AE6572"/>
    <w:rsid w:val="00AE6D3F"/>
    <w:rsid w:val="00AE70D9"/>
    <w:rsid w:val="00AE718C"/>
    <w:rsid w:val="00AE7228"/>
    <w:rsid w:val="00AE7284"/>
    <w:rsid w:val="00AE72DD"/>
    <w:rsid w:val="00AE7530"/>
    <w:rsid w:val="00AE7683"/>
    <w:rsid w:val="00AE793A"/>
    <w:rsid w:val="00AE7AF3"/>
    <w:rsid w:val="00AE7D26"/>
    <w:rsid w:val="00AF0097"/>
    <w:rsid w:val="00AF01A6"/>
    <w:rsid w:val="00AF0215"/>
    <w:rsid w:val="00AF051E"/>
    <w:rsid w:val="00AF06F0"/>
    <w:rsid w:val="00AF0DF3"/>
    <w:rsid w:val="00AF13BC"/>
    <w:rsid w:val="00AF1676"/>
    <w:rsid w:val="00AF21D0"/>
    <w:rsid w:val="00AF3894"/>
    <w:rsid w:val="00AF3DC1"/>
    <w:rsid w:val="00AF3F6A"/>
    <w:rsid w:val="00AF44F6"/>
    <w:rsid w:val="00AF47AA"/>
    <w:rsid w:val="00AF4C9E"/>
    <w:rsid w:val="00AF4E28"/>
    <w:rsid w:val="00AF518C"/>
    <w:rsid w:val="00AF5B71"/>
    <w:rsid w:val="00AF76DF"/>
    <w:rsid w:val="00AF7D00"/>
    <w:rsid w:val="00B00249"/>
    <w:rsid w:val="00B0053C"/>
    <w:rsid w:val="00B010AB"/>
    <w:rsid w:val="00B01199"/>
    <w:rsid w:val="00B013E8"/>
    <w:rsid w:val="00B01585"/>
    <w:rsid w:val="00B01629"/>
    <w:rsid w:val="00B01B7D"/>
    <w:rsid w:val="00B02322"/>
    <w:rsid w:val="00B0235F"/>
    <w:rsid w:val="00B0359D"/>
    <w:rsid w:val="00B03729"/>
    <w:rsid w:val="00B03F5B"/>
    <w:rsid w:val="00B04503"/>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06DB"/>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4C3D"/>
    <w:rsid w:val="00B15BA3"/>
    <w:rsid w:val="00B16031"/>
    <w:rsid w:val="00B160A2"/>
    <w:rsid w:val="00B16748"/>
    <w:rsid w:val="00B16810"/>
    <w:rsid w:val="00B1697E"/>
    <w:rsid w:val="00B16D95"/>
    <w:rsid w:val="00B16E18"/>
    <w:rsid w:val="00B171A4"/>
    <w:rsid w:val="00B1736B"/>
    <w:rsid w:val="00B17457"/>
    <w:rsid w:val="00B17B83"/>
    <w:rsid w:val="00B17F5B"/>
    <w:rsid w:val="00B203DE"/>
    <w:rsid w:val="00B21642"/>
    <w:rsid w:val="00B21B58"/>
    <w:rsid w:val="00B22103"/>
    <w:rsid w:val="00B227D9"/>
    <w:rsid w:val="00B22E8C"/>
    <w:rsid w:val="00B23FA1"/>
    <w:rsid w:val="00B24BFD"/>
    <w:rsid w:val="00B24E37"/>
    <w:rsid w:val="00B24F99"/>
    <w:rsid w:val="00B254B1"/>
    <w:rsid w:val="00B25774"/>
    <w:rsid w:val="00B2585F"/>
    <w:rsid w:val="00B25DA6"/>
    <w:rsid w:val="00B25FB8"/>
    <w:rsid w:val="00B260F8"/>
    <w:rsid w:val="00B2614B"/>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418"/>
    <w:rsid w:val="00B329BE"/>
    <w:rsid w:val="00B32A95"/>
    <w:rsid w:val="00B32C8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A06"/>
    <w:rsid w:val="00B36F22"/>
    <w:rsid w:val="00B3722D"/>
    <w:rsid w:val="00B37342"/>
    <w:rsid w:val="00B37807"/>
    <w:rsid w:val="00B37EC6"/>
    <w:rsid w:val="00B37F20"/>
    <w:rsid w:val="00B40028"/>
    <w:rsid w:val="00B4022F"/>
    <w:rsid w:val="00B40369"/>
    <w:rsid w:val="00B40677"/>
    <w:rsid w:val="00B40996"/>
    <w:rsid w:val="00B41254"/>
    <w:rsid w:val="00B412C5"/>
    <w:rsid w:val="00B412F9"/>
    <w:rsid w:val="00B41394"/>
    <w:rsid w:val="00B414AD"/>
    <w:rsid w:val="00B41820"/>
    <w:rsid w:val="00B41CD2"/>
    <w:rsid w:val="00B41D7A"/>
    <w:rsid w:val="00B421D6"/>
    <w:rsid w:val="00B4227C"/>
    <w:rsid w:val="00B423D1"/>
    <w:rsid w:val="00B42640"/>
    <w:rsid w:val="00B4281E"/>
    <w:rsid w:val="00B42CBF"/>
    <w:rsid w:val="00B4306D"/>
    <w:rsid w:val="00B4328E"/>
    <w:rsid w:val="00B43DE1"/>
    <w:rsid w:val="00B43F3D"/>
    <w:rsid w:val="00B44340"/>
    <w:rsid w:val="00B44422"/>
    <w:rsid w:val="00B44A03"/>
    <w:rsid w:val="00B4562E"/>
    <w:rsid w:val="00B45783"/>
    <w:rsid w:val="00B46004"/>
    <w:rsid w:val="00B46241"/>
    <w:rsid w:val="00B4627F"/>
    <w:rsid w:val="00B4671F"/>
    <w:rsid w:val="00B474D7"/>
    <w:rsid w:val="00B47AC5"/>
    <w:rsid w:val="00B47D51"/>
    <w:rsid w:val="00B47EE1"/>
    <w:rsid w:val="00B47F59"/>
    <w:rsid w:val="00B509A2"/>
    <w:rsid w:val="00B5145E"/>
    <w:rsid w:val="00B5159B"/>
    <w:rsid w:val="00B52344"/>
    <w:rsid w:val="00B52628"/>
    <w:rsid w:val="00B52B19"/>
    <w:rsid w:val="00B52CBC"/>
    <w:rsid w:val="00B52CFB"/>
    <w:rsid w:val="00B52FFB"/>
    <w:rsid w:val="00B53149"/>
    <w:rsid w:val="00B53919"/>
    <w:rsid w:val="00B53ED5"/>
    <w:rsid w:val="00B542CD"/>
    <w:rsid w:val="00B54363"/>
    <w:rsid w:val="00B548D6"/>
    <w:rsid w:val="00B54931"/>
    <w:rsid w:val="00B54968"/>
    <w:rsid w:val="00B54CF6"/>
    <w:rsid w:val="00B550E6"/>
    <w:rsid w:val="00B554F2"/>
    <w:rsid w:val="00B55DB0"/>
    <w:rsid w:val="00B56080"/>
    <w:rsid w:val="00B56167"/>
    <w:rsid w:val="00B56684"/>
    <w:rsid w:val="00B56861"/>
    <w:rsid w:val="00B56943"/>
    <w:rsid w:val="00B56A8A"/>
    <w:rsid w:val="00B56F42"/>
    <w:rsid w:val="00B574BE"/>
    <w:rsid w:val="00B57911"/>
    <w:rsid w:val="00B60A36"/>
    <w:rsid w:val="00B60B85"/>
    <w:rsid w:val="00B61338"/>
    <w:rsid w:val="00B61584"/>
    <w:rsid w:val="00B61719"/>
    <w:rsid w:val="00B6187F"/>
    <w:rsid w:val="00B618B1"/>
    <w:rsid w:val="00B61938"/>
    <w:rsid w:val="00B61ED3"/>
    <w:rsid w:val="00B61F92"/>
    <w:rsid w:val="00B624C7"/>
    <w:rsid w:val="00B627DF"/>
    <w:rsid w:val="00B62813"/>
    <w:rsid w:val="00B628BB"/>
    <w:rsid w:val="00B62A0E"/>
    <w:rsid w:val="00B62CEB"/>
    <w:rsid w:val="00B63030"/>
    <w:rsid w:val="00B6335F"/>
    <w:rsid w:val="00B633CA"/>
    <w:rsid w:val="00B63876"/>
    <w:rsid w:val="00B63BD1"/>
    <w:rsid w:val="00B63C41"/>
    <w:rsid w:val="00B63E76"/>
    <w:rsid w:val="00B642C2"/>
    <w:rsid w:val="00B64327"/>
    <w:rsid w:val="00B64510"/>
    <w:rsid w:val="00B64B06"/>
    <w:rsid w:val="00B64C0D"/>
    <w:rsid w:val="00B65172"/>
    <w:rsid w:val="00B65505"/>
    <w:rsid w:val="00B65AF6"/>
    <w:rsid w:val="00B662D7"/>
    <w:rsid w:val="00B66CEC"/>
    <w:rsid w:val="00B66D90"/>
    <w:rsid w:val="00B67A7D"/>
    <w:rsid w:val="00B67AB7"/>
    <w:rsid w:val="00B67C11"/>
    <w:rsid w:val="00B67D0A"/>
    <w:rsid w:val="00B7015B"/>
    <w:rsid w:val="00B704E8"/>
    <w:rsid w:val="00B70612"/>
    <w:rsid w:val="00B706B7"/>
    <w:rsid w:val="00B7093E"/>
    <w:rsid w:val="00B70D8E"/>
    <w:rsid w:val="00B70DF5"/>
    <w:rsid w:val="00B70E7E"/>
    <w:rsid w:val="00B71343"/>
    <w:rsid w:val="00B71509"/>
    <w:rsid w:val="00B718C8"/>
    <w:rsid w:val="00B71F2D"/>
    <w:rsid w:val="00B72095"/>
    <w:rsid w:val="00B72208"/>
    <w:rsid w:val="00B72634"/>
    <w:rsid w:val="00B72AB1"/>
    <w:rsid w:val="00B72F80"/>
    <w:rsid w:val="00B731D8"/>
    <w:rsid w:val="00B7321A"/>
    <w:rsid w:val="00B73890"/>
    <w:rsid w:val="00B73A86"/>
    <w:rsid w:val="00B73B0F"/>
    <w:rsid w:val="00B73EDF"/>
    <w:rsid w:val="00B73F36"/>
    <w:rsid w:val="00B73F6E"/>
    <w:rsid w:val="00B7444C"/>
    <w:rsid w:val="00B746FF"/>
    <w:rsid w:val="00B74764"/>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0F39"/>
    <w:rsid w:val="00B8190A"/>
    <w:rsid w:val="00B81B5C"/>
    <w:rsid w:val="00B81D36"/>
    <w:rsid w:val="00B820A6"/>
    <w:rsid w:val="00B820C2"/>
    <w:rsid w:val="00B825FC"/>
    <w:rsid w:val="00B82C85"/>
    <w:rsid w:val="00B82DC5"/>
    <w:rsid w:val="00B82F23"/>
    <w:rsid w:val="00B83169"/>
    <w:rsid w:val="00B834BE"/>
    <w:rsid w:val="00B835DC"/>
    <w:rsid w:val="00B837D7"/>
    <w:rsid w:val="00B8381D"/>
    <w:rsid w:val="00B84287"/>
    <w:rsid w:val="00B8451A"/>
    <w:rsid w:val="00B84A6A"/>
    <w:rsid w:val="00B84D3C"/>
    <w:rsid w:val="00B85630"/>
    <w:rsid w:val="00B858D4"/>
    <w:rsid w:val="00B864C0"/>
    <w:rsid w:val="00B86BFD"/>
    <w:rsid w:val="00B86C7E"/>
    <w:rsid w:val="00B86FDF"/>
    <w:rsid w:val="00B8780B"/>
    <w:rsid w:val="00B878EE"/>
    <w:rsid w:val="00B87A7F"/>
    <w:rsid w:val="00B87DB6"/>
    <w:rsid w:val="00B87E0D"/>
    <w:rsid w:val="00B90262"/>
    <w:rsid w:val="00B90675"/>
    <w:rsid w:val="00B90DE3"/>
    <w:rsid w:val="00B90E2D"/>
    <w:rsid w:val="00B90EBE"/>
    <w:rsid w:val="00B91090"/>
    <w:rsid w:val="00B91123"/>
    <w:rsid w:val="00B913B7"/>
    <w:rsid w:val="00B913DD"/>
    <w:rsid w:val="00B915B0"/>
    <w:rsid w:val="00B917BC"/>
    <w:rsid w:val="00B91C77"/>
    <w:rsid w:val="00B92188"/>
    <w:rsid w:val="00B9231C"/>
    <w:rsid w:val="00B92CBE"/>
    <w:rsid w:val="00B92F7A"/>
    <w:rsid w:val="00B93361"/>
    <w:rsid w:val="00B940F4"/>
    <w:rsid w:val="00B943B3"/>
    <w:rsid w:val="00B94C4C"/>
    <w:rsid w:val="00B94CB2"/>
    <w:rsid w:val="00B94ECF"/>
    <w:rsid w:val="00B94EFB"/>
    <w:rsid w:val="00B94F3B"/>
    <w:rsid w:val="00B955BF"/>
    <w:rsid w:val="00B959D1"/>
    <w:rsid w:val="00B968D3"/>
    <w:rsid w:val="00B96EE6"/>
    <w:rsid w:val="00B972ED"/>
    <w:rsid w:val="00B9791D"/>
    <w:rsid w:val="00B97AE5"/>
    <w:rsid w:val="00BA0312"/>
    <w:rsid w:val="00BA0897"/>
    <w:rsid w:val="00BA1210"/>
    <w:rsid w:val="00BA13E1"/>
    <w:rsid w:val="00BA1544"/>
    <w:rsid w:val="00BA15C8"/>
    <w:rsid w:val="00BA16CA"/>
    <w:rsid w:val="00BA1734"/>
    <w:rsid w:val="00BA1865"/>
    <w:rsid w:val="00BA1B97"/>
    <w:rsid w:val="00BA1E32"/>
    <w:rsid w:val="00BA2135"/>
    <w:rsid w:val="00BA2457"/>
    <w:rsid w:val="00BA28DF"/>
    <w:rsid w:val="00BA2C90"/>
    <w:rsid w:val="00BA2D1C"/>
    <w:rsid w:val="00BA31E6"/>
    <w:rsid w:val="00BA3268"/>
    <w:rsid w:val="00BA3D96"/>
    <w:rsid w:val="00BA3DBE"/>
    <w:rsid w:val="00BA429D"/>
    <w:rsid w:val="00BA4A85"/>
    <w:rsid w:val="00BA55A2"/>
    <w:rsid w:val="00BA5C26"/>
    <w:rsid w:val="00BA621A"/>
    <w:rsid w:val="00BA63E1"/>
    <w:rsid w:val="00BA668F"/>
    <w:rsid w:val="00BA673E"/>
    <w:rsid w:val="00BA6A64"/>
    <w:rsid w:val="00BA6DC3"/>
    <w:rsid w:val="00BA74FB"/>
    <w:rsid w:val="00BA7593"/>
    <w:rsid w:val="00BA7726"/>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755"/>
    <w:rsid w:val="00BB1A82"/>
    <w:rsid w:val="00BB2895"/>
    <w:rsid w:val="00BB29B4"/>
    <w:rsid w:val="00BB2A57"/>
    <w:rsid w:val="00BB2B38"/>
    <w:rsid w:val="00BB2B71"/>
    <w:rsid w:val="00BB2CAD"/>
    <w:rsid w:val="00BB2F4F"/>
    <w:rsid w:val="00BB34B9"/>
    <w:rsid w:val="00BB3C22"/>
    <w:rsid w:val="00BB3F8C"/>
    <w:rsid w:val="00BB44F4"/>
    <w:rsid w:val="00BB4A6D"/>
    <w:rsid w:val="00BB4B06"/>
    <w:rsid w:val="00BB4D27"/>
    <w:rsid w:val="00BB5190"/>
    <w:rsid w:val="00BB537C"/>
    <w:rsid w:val="00BB54CC"/>
    <w:rsid w:val="00BB5C19"/>
    <w:rsid w:val="00BB5FFB"/>
    <w:rsid w:val="00BB66CD"/>
    <w:rsid w:val="00BB6835"/>
    <w:rsid w:val="00BB6AA2"/>
    <w:rsid w:val="00BB6CFE"/>
    <w:rsid w:val="00BB7081"/>
    <w:rsid w:val="00BB7295"/>
    <w:rsid w:val="00BB78BF"/>
    <w:rsid w:val="00BB791D"/>
    <w:rsid w:val="00BB7A4D"/>
    <w:rsid w:val="00BC02ED"/>
    <w:rsid w:val="00BC05D3"/>
    <w:rsid w:val="00BC0B50"/>
    <w:rsid w:val="00BC1253"/>
    <w:rsid w:val="00BC13EE"/>
    <w:rsid w:val="00BC1914"/>
    <w:rsid w:val="00BC2353"/>
    <w:rsid w:val="00BC2362"/>
    <w:rsid w:val="00BC25FA"/>
    <w:rsid w:val="00BC277C"/>
    <w:rsid w:val="00BC3210"/>
    <w:rsid w:val="00BC34FF"/>
    <w:rsid w:val="00BC3878"/>
    <w:rsid w:val="00BC4321"/>
    <w:rsid w:val="00BC4391"/>
    <w:rsid w:val="00BC4640"/>
    <w:rsid w:val="00BC47ED"/>
    <w:rsid w:val="00BC5435"/>
    <w:rsid w:val="00BC54DF"/>
    <w:rsid w:val="00BC5E5D"/>
    <w:rsid w:val="00BC60E1"/>
    <w:rsid w:val="00BC61A8"/>
    <w:rsid w:val="00BC62EC"/>
    <w:rsid w:val="00BC69B0"/>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E44"/>
    <w:rsid w:val="00BD69EF"/>
    <w:rsid w:val="00BD6D45"/>
    <w:rsid w:val="00BD70E3"/>
    <w:rsid w:val="00BD754C"/>
    <w:rsid w:val="00BD7790"/>
    <w:rsid w:val="00BD77F6"/>
    <w:rsid w:val="00BD7C77"/>
    <w:rsid w:val="00BE047A"/>
    <w:rsid w:val="00BE04F4"/>
    <w:rsid w:val="00BE05EA"/>
    <w:rsid w:val="00BE0794"/>
    <w:rsid w:val="00BE0A68"/>
    <w:rsid w:val="00BE0C41"/>
    <w:rsid w:val="00BE0CD9"/>
    <w:rsid w:val="00BE0E5A"/>
    <w:rsid w:val="00BE134B"/>
    <w:rsid w:val="00BE143F"/>
    <w:rsid w:val="00BE1642"/>
    <w:rsid w:val="00BE2817"/>
    <w:rsid w:val="00BE2C78"/>
    <w:rsid w:val="00BE2E5E"/>
    <w:rsid w:val="00BE3098"/>
    <w:rsid w:val="00BE39E0"/>
    <w:rsid w:val="00BE3E17"/>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20A"/>
    <w:rsid w:val="00BE79DB"/>
    <w:rsid w:val="00BF0000"/>
    <w:rsid w:val="00BF07E3"/>
    <w:rsid w:val="00BF09DE"/>
    <w:rsid w:val="00BF0C07"/>
    <w:rsid w:val="00BF0C90"/>
    <w:rsid w:val="00BF0CE2"/>
    <w:rsid w:val="00BF1279"/>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92C"/>
    <w:rsid w:val="00BF5998"/>
    <w:rsid w:val="00BF5A15"/>
    <w:rsid w:val="00BF5B9D"/>
    <w:rsid w:val="00BF5CCB"/>
    <w:rsid w:val="00BF6B00"/>
    <w:rsid w:val="00BF6C8C"/>
    <w:rsid w:val="00BF6C8F"/>
    <w:rsid w:val="00BF6D93"/>
    <w:rsid w:val="00BF6F1D"/>
    <w:rsid w:val="00BF71A7"/>
    <w:rsid w:val="00BF74AC"/>
    <w:rsid w:val="00BF767C"/>
    <w:rsid w:val="00BF7A28"/>
    <w:rsid w:val="00BF7F9B"/>
    <w:rsid w:val="00C00413"/>
    <w:rsid w:val="00C00A67"/>
    <w:rsid w:val="00C00F78"/>
    <w:rsid w:val="00C01A8D"/>
    <w:rsid w:val="00C01F78"/>
    <w:rsid w:val="00C024B8"/>
    <w:rsid w:val="00C03121"/>
    <w:rsid w:val="00C03B09"/>
    <w:rsid w:val="00C042BB"/>
    <w:rsid w:val="00C042FD"/>
    <w:rsid w:val="00C042FE"/>
    <w:rsid w:val="00C04B3C"/>
    <w:rsid w:val="00C04F10"/>
    <w:rsid w:val="00C04F23"/>
    <w:rsid w:val="00C051C4"/>
    <w:rsid w:val="00C055C6"/>
    <w:rsid w:val="00C059C5"/>
    <w:rsid w:val="00C05D30"/>
    <w:rsid w:val="00C05FB1"/>
    <w:rsid w:val="00C063A4"/>
    <w:rsid w:val="00C067FE"/>
    <w:rsid w:val="00C06B7E"/>
    <w:rsid w:val="00C06CDE"/>
    <w:rsid w:val="00C06F8E"/>
    <w:rsid w:val="00C07345"/>
    <w:rsid w:val="00C07496"/>
    <w:rsid w:val="00C07A8B"/>
    <w:rsid w:val="00C07D2B"/>
    <w:rsid w:val="00C07EF7"/>
    <w:rsid w:val="00C07FE2"/>
    <w:rsid w:val="00C10093"/>
    <w:rsid w:val="00C103E3"/>
    <w:rsid w:val="00C1087B"/>
    <w:rsid w:val="00C10A07"/>
    <w:rsid w:val="00C10A4A"/>
    <w:rsid w:val="00C10AA0"/>
    <w:rsid w:val="00C10BFB"/>
    <w:rsid w:val="00C10C2B"/>
    <w:rsid w:val="00C111A5"/>
    <w:rsid w:val="00C1143A"/>
    <w:rsid w:val="00C1148E"/>
    <w:rsid w:val="00C11515"/>
    <w:rsid w:val="00C11573"/>
    <w:rsid w:val="00C1169E"/>
    <w:rsid w:val="00C11779"/>
    <w:rsid w:val="00C11E21"/>
    <w:rsid w:val="00C12574"/>
    <w:rsid w:val="00C12BB2"/>
    <w:rsid w:val="00C12F17"/>
    <w:rsid w:val="00C12FEF"/>
    <w:rsid w:val="00C132C9"/>
    <w:rsid w:val="00C133F9"/>
    <w:rsid w:val="00C1349A"/>
    <w:rsid w:val="00C13C6E"/>
    <w:rsid w:val="00C13DA4"/>
    <w:rsid w:val="00C13FA0"/>
    <w:rsid w:val="00C14511"/>
    <w:rsid w:val="00C145FC"/>
    <w:rsid w:val="00C14722"/>
    <w:rsid w:val="00C149E2"/>
    <w:rsid w:val="00C14B26"/>
    <w:rsid w:val="00C15FE3"/>
    <w:rsid w:val="00C163AE"/>
    <w:rsid w:val="00C16536"/>
    <w:rsid w:val="00C16CAA"/>
    <w:rsid w:val="00C16CEE"/>
    <w:rsid w:val="00C16D0E"/>
    <w:rsid w:val="00C16E63"/>
    <w:rsid w:val="00C16E97"/>
    <w:rsid w:val="00C175BE"/>
    <w:rsid w:val="00C17623"/>
    <w:rsid w:val="00C178DB"/>
    <w:rsid w:val="00C20219"/>
    <w:rsid w:val="00C2090E"/>
    <w:rsid w:val="00C20E1F"/>
    <w:rsid w:val="00C2139D"/>
    <w:rsid w:val="00C2159D"/>
    <w:rsid w:val="00C21D6F"/>
    <w:rsid w:val="00C21EEE"/>
    <w:rsid w:val="00C22257"/>
    <w:rsid w:val="00C226F6"/>
    <w:rsid w:val="00C22F9B"/>
    <w:rsid w:val="00C23437"/>
    <w:rsid w:val="00C23D15"/>
    <w:rsid w:val="00C253F5"/>
    <w:rsid w:val="00C259DF"/>
    <w:rsid w:val="00C259EC"/>
    <w:rsid w:val="00C25B7D"/>
    <w:rsid w:val="00C25E3D"/>
    <w:rsid w:val="00C261C3"/>
    <w:rsid w:val="00C26402"/>
    <w:rsid w:val="00C26487"/>
    <w:rsid w:val="00C266D7"/>
    <w:rsid w:val="00C26D5D"/>
    <w:rsid w:val="00C27193"/>
    <w:rsid w:val="00C275EC"/>
    <w:rsid w:val="00C27AFD"/>
    <w:rsid w:val="00C30465"/>
    <w:rsid w:val="00C30545"/>
    <w:rsid w:val="00C30B8F"/>
    <w:rsid w:val="00C30BFA"/>
    <w:rsid w:val="00C30ECE"/>
    <w:rsid w:val="00C31143"/>
    <w:rsid w:val="00C31BC7"/>
    <w:rsid w:val="00C31D6F"/>
    <w:rsid w:val="00C31F98"/>
    <w:rsid w:val="00C32280"/>
    <w:rsid w:val="00C32D41"/>
    <w:rsid w:val="00C32F16"/>
    <w:rsid w:val="00C3354F"/>
    <w:rsid w:val="00C33697"/>
    <w:rsid w:val="00C339C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37732"/>
    <w:rsid w:val="00C4003C"/>
    <w:rsid w:val="00C40044"/>
    <w:rsid w:val="00C4009D"/>
    <w:rsid w:val="00C40875"/>
    <w:rsid w:val="00C40C6D"/>
    <w:rsid w:val="00C417AF"/>
    <w:rsid w:val="00C420B5"/>
    <w:rsid w:val="00C421F3"/>
    <w:rsid w:val="00C42B14"/>
    <w:rsid w:val="00C4328E"/>
    <w:rsid w:val="00C441B7"/>
    <w:rsid w:val="00C44D4A"/>
    <w:rsid w:val="00C45401"/>
    <w:rsid w:val="00C45405"/>
    <w:rsid w:val="00C454B0"/>
    <w:rsid w:val="00C45A10"/>
    <w:rsid w:val="00C45B88"/>
    <w:rsid w:val="00C45C20"/>
    <w:rsid w:val="00C46038"/>
    <w:rsid w:val="00C4693B"/>
    <w:rsid w:val="00C46D97"/>
    <w:rsid w:val="00C46FC2"/>
    <w:rsid w:val="00C470CB"/>
    <w:rsid w:val="00C47275"/>
    <w:rsid w:val="00C473A1"/>
    <w:rsid w:val="00C501EA"/>
    <w:rsid w:val="00C505F6"/>
    <w:rsid w:val="00C50620"/>
    <w:rsid w:val="00C50CE0"/>
    <w:rsid w:val="00C50D29"/>
    <w:rsid w:val="00C50E43"/>
    <w:rsid w:val="00C50ECA"/>
    <w:rsid w:val="00C518AE"/>
    <w:rsid w:val="00C51918"/>
    <w:rsid w:val="00C526B3"/>
    <w:rsid w:val="00C527F7"/>
    <w:rsid w:val="00C52A65"/>
    <w:rsid w:val="00C52CBF"/>
    <w:rsid w:val="00C53167"/>
    <w:rsid w:val="00C534AA"/>
    <w:rsid w:val="00C53A1A"/>
    <w:rsid w:val="00C53A45"/>
    <w:rsid w:val="00C53D78"/>
    <w:rsid w:val="00C53FF1"/>
    <w:rsid w:val="00C5406E"/>
    <w:rsid w:val="00C54524"/>
    <w:rsid w:val="00C545E4"/>
    <w:rsid w:val="00C55575"/>
    <w:rsid w:val="00C5599E"/>
    <w:rsid w:val="00C55C9B"/>
    <w:rsid w:val="00C563EB"/>
    <w:rsid w:val="00C564A4"/>
    <w:rsid w:val="00C5652F"/>
    <w:rsid w:val="00C56AF2"/>
    <w:rsid w:val="00C5717F"/>
    <w:rsid w:val="00C57345"/>
    <w:rsid w:val="00C57A40"/>
    <w:rsid w:val="00C6092E"/>
    <w:rsid w:val="00C6101B"/>
    <w:rsid w:val="00C6119E"/>
    <w:rsid w:val="00C61327"/>
    <w:rsid w:val="00C6164C"/>
    <w:rsid w:val="00C61A25"/>
    <w:rsid w:val="00C62169"/>
    <w:rsid w:val="00C62879"/>
    <w:rsid w:val="00C62C24"/>
    <w:rsid w:val="00C62C57"/>
    <w:rsid w:val="00C62E8F"/>
    <w:rsid w:val="00C62F2B"/>
    <w:rsid w:val="00C62F95"/>
    <w:rsid w:val="00C63827"/>
    <w:rsid w:val="00C63850"/>
    <w:rsid w:val="00C638AA"/>
    <w:rsid w:val="00C63968"/>
    <w:rsid w:val="00C63E0F"/>
    <w:rsid w:val="00C63E9F"/>
    <w:rsid w:val="00C64D32"/>
    <w:rsid w:val="00C6557A"/>
    <w:rsid w:val="00C65851"/>
    <w:rsid w:val="00C65970"/>
    <w:rsid w:val="00C659A9"/>
    <w:rsid w:val="00C65BDF"/>
    <w:rsid w:val="00C66077"/>
    <w:rsid w:val="00C66443"/>
    <w:rsid w:val="00C665E0"/>
    <w:rsid w:val="00C66BCE"/>
    <w:rsid w:val="00C67141"/>
    <w:rsid w:val="00C672F8"/>
    <w:rsid w:val="00C67585"/>
    <w:rsid w:val="00C67FA8"/>
    <w:rsid w:val="00C70109"/>
    <w:rsid w:val="00C70112"/>
    <w:rsid w:val="00C70114"/>
    <w:rsid w:val="00C70387"/>
    <w:rsid w:val="00C7050C"/>
    <w:rsid w:val="00C70553"/>
    <w:rsid w:val="00C70718"/>
    <w:rsid w:val="00C70CC1"/>
    <w:rsid w:val="00C70F73"/>
    <w:rsid w:val="00C70FDF"/>
    <w:rsid w:val="00C7210A"/>
    <w:rsid w:val="00C7296C"/>
    <w:rsid w:val="00C7331A"/>
    <w:rsid w:val="00C739CE"/>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430"/>
    <w:rsid w:val="00C77BE4"/>
    <w:rsid w:val="00C77CEE"/>
    <w:rsid w:val="00C77F6E"/>
    <w:rsid w:val="00C8033B"/>
    <w:rsid w:val="00C804CC"/>
    <w:rsid w:val="00C8055E"/>
    <w:rsid w:val="00C8074C"/>
    <w:rsid w:val="00C80B79"/>
    <w:rsid w:val="00C80C43"/>
    <w:rsid w:val="00C80DA7"/>
    <w:rsid w:val="00C80FCC"/>
    <w:rsid w:val="00C80FE9"/>
    <w:rsid w:val="00C81588"/>
    <w:rsid w:val="00C81948"/>
    <w:rsid w:val="00C81A19"/>
    <w:rsid w:val="00C8228A"/>
    <w:rsid w:val="00C827A5"/>
    <w:rsid w:val="00C82A42"/>
    <w:rsid w:val="00C82BA5"/>
    <w:rsid w:val="00C830C8"/>
    <w:rsid w:val="00C835E9"/>
    <w:rsid w:val="00C8446F"/>
    <w:rsid w:val="00C84620"/>
    <w:rsid w:val="00C846D1"/>
    <w:rsid w:val="00C84A9A"/>
    <w:rsid w:val="00C85103"/>
    <w:rsid w:val="00C854E2"/>
    <w:rsid w:val="00C854F5"/>
    <w:rsid w:val="00C856B1"/>
    <w:rsid w:val="00C858DC"/>
    <w:rsid w:val="00C85C17"/>
    <w:rsid w:val="00C85CF3"/>
    <w:rsid w:val="00C85E01"/>
    <w:rsid w:val="00C85F9D"/>
    <w:rsid w:val="00C86422"/>
    <w:rsid w:val="00C86797"/>
    <w:rsid w:val="00C86F72"/>
    <w:rsid w:val="00C8739C"/>
    <w:rsid w:val="00C87CAF"/>
    <w:rsid w:val="00C90EBD"/>
    <w:rsid w:val="00C90EBE"/>
    <w:rsid w:val="00C90FB8"/>
    <w:rsid w:val="00C9103A"/>
    <w:rsid w:val="00C91205"/>
    <w:rsid w:val="00C91245"/>
    <w:rsid w:val="00C9138D"/>
    <w:rsid w:val="00C91590"/>
    <w:rsid w:val="00C91AB6"/>
    <w:rsid w:val="00C928B1"/>
    <w:rsid w:val="00C92D6B"/>
    <w:rsid w:val="00C92E21"/>
    <w:rsid w:val="00C93102"/>
    <w:rsid w:val="00C9314E"/>
    <w:rsid w:val="00C931BD"/>
    <w:rsid w:val="00C9357D"/>
    <w:rsid w:val="00C93BDE"/>
    <w:rsid w:val="00C93E29"/>
    <w:rsid w:val="00C93E9C"/>
    <w:rsid w:val="00C9421B"/>
    <w:rsid w:val="00C9427D"/>
    <w:rsid w:val="00C9448C"/>
    <w:rsid w:val="00C94C65"/>
    <w:rsid w:val="00C952EC"/>
    <w:rsid w:val="00C95382"/>
    <w:rsid w:val="00C95733"/>
    <w:rsid w:val="00C9601F"/>
    <w:rsid w:val="00C96F47"/>
    <w:rsid w:val="00C972AD"/>
    <w:rsid w:val="00C97573"/>
    <w:rsid w:val="00C978C5"/>
    <w:rsid w:val="00C97933"/>
    <w:rsid w:val="00C97A4D"/>
    <w:rsid w:val="00C97C67"/>
    <w:rsid w:val="00CA0593"/>
    <w:rsid w:val="00CA11BB"/>
    <w:rsid w:val="00CA1538"/>
    <w:rsid w:val="00CA1941"/>
    <w:rsid w:val="00CA1EEB"/>
    <w:rsid w:val="00CA2099"/>
    <w:rsid w:val="00CA2325"/>
    <w:rsid w:val="00CA28CB"/>
    <w:rsid w:val="00CA2FA7"/>
    <w:rsid w:val="00CA349F"/>
    <w:rsid w:val="00CA3B9A"/>
    <w:rsid w:val="00CA4275"/>
    <w:rsid w:val="00CA4568"/>
    <w:rsid w:val="00CA4ABF"/>
    <w:rsid w:val="00CA4EAE"/>
    <w:rsid w:val="00CA4FD6"/>
    <w:rsid w:val="00CA5122"/>
    <w:rsid w:val="00CA533B"/>
    <w:rsid w:val="00CA5513"/>
    <w:rsid w:val="00CA5776"/>
    <w:rsid w:val="00CA581E"/>
    <w:rsid w:val="00CA5FE0"/>
    <w:rsid w:val="00CA684A"/>
    <w:rsid w:val="00CA726B"/>
    <w:rsid w:val="00CA72F0"/>
    <w:rsid w:val="00CA730D"/>
    <w:rsid w:val="00CA78F6"/>
    <w:rsid w:val="00CA7C4A"/>
    <w:rsid w:val="00CB025E"/>
    <w:rsid w:val="00CB0405"/>
    <w:rsid w:val="00CB0B14"/>
    <w:rsid w:val="00CB0D33"/>
    <w:rsid w:val="00CB0E59"/>
    <w:rsid w:val="00CB0F9E"/>
    <w:rsid w:val="00CB1061"/>
    <w:rsid w:val="00CB1610"/>
    <w:rsid w:val="00CB1F9A"/>
    <w:rsid w:val="00CB2283"/>
    <w:rsid w:val="00CB2487"/>
    <w:rsid w:val="00CB39D1"/>
    <w:rsid w:val="00CB3ED6"/>
    <w:rsid w:val="00CB40F1"/>
    <w:rsid w:val="00CB41CA"/>
    <w:rsid w:val="00CB498B"/>
    <w:rsid w:val="00CB4A5D"/>
    <w:rsid w:val="00CB4C02"/>
    <w:rsid w:val="00CB4C36"/>
    <w:rsid w:val="00CB538C"/>
    <w:rsid w:val="00CB53B4"/>
    <w:rsid w:val="00CB5AE6"/>
    <w:rsid w:val="00CB5BC4"/>
    <w:rsid w:val="00CB5C87"/>
    <w:rsid w:val="00CB5E53"/>
    <w:rsid w:val="00CB6589"/>
    <w:rsid w:val="00CB686F"/>
    <w:rsid w:val="00CB6B2F"/>
    <w:rsid w:val="00CB6C45"/>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19A"/>
    <w:rsid w:val="00CC245B"/>
    <w:rsid w:val="00CC2484"/>
    <w:rsid w:val="00CC26F1"/>
    <w:rsid w:val="00CC27E0"/>
    <w:rsid w:val="00CC3185"/>
    <w:rsid w:val="00CC35C4"/>
    <w:rsid w:val="00CC3AFC"/>
    <w:rsid w:val="00CC4734"/>
    <w:rsid w:val="00CC47F5"/>
    <w:rsid w:val="00CC4C9F"/>
    <w:rsid w:val="00CC4D64"/>
    <w:rsid w:val="00CC4F10"/>
    <w:rsid w:val="00CC50B7"/>
    <w:rsid w:val="00CC5499"/>
    <w:rsid w:val="00CC57B3"/>
    <w:rsid w:val="00CC5C24"/>
    <w:rsid w:val="00CC5F3D"/>
    <w:rsid w:val="00CC62EB"/>
    <w:rsid w:val="00CC6584"/>
    <w:rsid w:val="00CC6633"/>
    <w:rsid w:val="00CC6DE8"/>
    <w:rsid w:val="00CC78FB"/>
    <w:rsid w:val="00CC7C5A"/>
    <w:rsid w:val="00CD027C"/>
    <w:rsid w:val="00CD0790"/>
    <w:rsid w:val="00CD09DE"/>
    <w:rsid w:val="00CD0BEF"/>
    <w:rsid w:val="00CD1744"/>
    <w:rsid w:val="00CD1C77"/>
    <w:rsid w:val="00CD21D8"/>
    <w:rsid w:val="00CD2467"/>
    <w:rsid w:val="00CD29EF"/>
    <w:rsid w:val="00CD3316"/>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72"/>
    <w:rsid w:val="00CE321C"/>
    <w:rsid w:val="00CE3482"/>
    <w:rsid w:val="00CE35D6"/>
    <w:rsid w:val="00CE3633"/>
    <w:rsid w:val="00CE379F"/>
    <w:rsid w:val="00CE37EC"/>
    <w:rsid w:val="00CE382F"/>
    <w:rsid w:val="00CE3E8A"/>
    <w:rsid w:val="00CE3F28"/>
    <w:rsid w:val="00CE4304"/>
    <w:rsid w:val="00CE5441"/>
    <w:rsid w:val="00CE54EA"/>
    <w:rsid w:val="00CE54F0"/>
    <w:rsid w:val="00CE575A"/>
    <w:rsid w:val="00CE58B0"/>
    <w:rsid w:val="00CE5940"/>
    <w:rsid w:val="00CE6353"/>
    <w:rsid w:val="00CE6924"/>
    <w:rsid w:val="00CE69E7"/>
    <w:rsid w:val="00CE74DC"/>
    <w:rsid w:val="00CE754B"/>
    <w:rsid w:val="00CE75DB"/>
    <w:rsid w:val="00CE7CA2"/>
    <w:rsid w:val="00CE7D7E"/>
    <w:rsid w:val="00CF0266"/>
    <w:rsid w:val="00CF039E"/>
    <w:rsid w:val="00CF05D5"/>
    <w:rsid w:val="00CF06C9"/>
    <w:rsid w:val="00CF1129"/>
    <w:rsid w:val="00CF11CB"/>
    <w:rsid w:val="00CF1813"/>
    <w:rsid w:val="00CF1AC9"/>
    <w:rsid w:val="00CF1D54"/>
    <w:rsid w:val="00CF1F07"/>
    <w:rsid w:val="00CF20A4"/>
    <w:rsid w:val="00CF2383"/>
    <w:rsid w:val="00CF247F"/>
    <w:rsid w:val="00CF2738"/>
    <w:rsid w:val="00CF2ACC"/>
    <w:rsid w:val="00CF2CE3"/>
    <w:rsid w:val="00CF2D2A"/>
    <w:rsid w:val="00CF2D8D"/>
    <w:rsid w:val="00CF3622"/>
    <w:rsid w:val="00CF3954"/>
    <w:rsid w:val="00CF4146"/>
    <w:rsid w:val="00CF4742"/>
    <w:rsid w:val="00CF4A2A"/>
    <w:rsid w:val="00CF4F20"/>
    <w:rsid w:val="00CF52D6"/>
    <w:rsid w:val="00CF5AE2"/>
    <w:rsid w:val="00CF5B75"/>
    <w:rsid w:val="00CF630B"/>
    <w:rsid w:val="00CF6A4F"/>
    <w:rsid w:val="00CF7931"/>
    <w:rsid w:val="00CF7C91"/>
    <w:rsid w:val="00CF7D28"/>
    <w:rsid w:val="00CF7DCA"/>
    <w:rsid w:val="00CF7F40"/>
    <w:rsid w:val="00D001CE"/>
    <w:rsid w:val="00D00488"/>
    <w:rsid w:val="00D007A5"/>
    <w:rsid w:val="00D00B76"/>
    <w:rsid w:val="00D00EAA"/>
    <w:rsid w:val="00D010A0"/>
    <w:rsid w:val="00D01239"/>
    <w:rsid w:val="00D013A1"/>
    <w:rsid w:val="00D01406"/>
    <w:rsid w:val="00D017C4"/>
    <w:rsid w:val="00D01CAB"/>
    <w:rsid w:val="00D029AB"/>
    <w:rsid w:val="00D02A29"/>
    <w:rsid w:val="00D039A5"/>
    <w:rsid w:val="00D03D7C"/>
    <w:rsid w:val="00D04209"/>
    <w:rsid w:val="00D04224"/>
    <w:rsid w:val="00D046B4"/>
    <w:rsid w:val="00D05156"/>
    <w:rsid w:val="00D056A1"/>
    <w:rsid w:val="00D05743"/>
    <w:rsid w:val="00D06063"/>
    <w:rsid w:val="00D061E8"/>
    <w:rsid w:val="00D06460"/>
    <w:rsid w:val="00D06461"/>
    <w:rsid w:val="00D065E3"/>
    <w:rsid w:val="00D0719C"/>
    <w:rsid w:val="00D07625"/>
    <w:rsid w:val="00D07879"/>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0E"/>
    <w:rsid w:val="00D1315D"/>
    <w:rsid w:val="00D13494"/>
    <w:rsid w:val="00D1379E"/>
    <w:rsid w:val="00D1439C"/>
    <w:rsid w:val="00D14764"/>
    <w:rsid w:val="00D14CDD"/>
    <w:rsid w:val="00D152CC"/>
    <w:rsid w:val="00D1576D"/>
    <w:rsid w:val="00D15A6F"/>
    <w:rsid w:val="00D16475"/>
    <w:rsid w:val="00D165CB"/>
    <w:rsid w:val="00D1687F"/>
    <w:rsid w:val="00D17786"/>
    <w:rsid w:val="00D17D77"/>
    <w:rsid w:val="00D200B9"/>
    <w:rsid w:val="00D2051C"/>
    <w:rsid w:val="00D2073B"/>
    <w:rsid w:val="00D20E5B"/>
    <w:rsid w:val="00D21210"/>
    <w:rsid w:val="00D2167F"/>
    <w:rsid w:val="00D2190F"/>
    <w:rsid w:val="00D21E1C"/>
    <w:rsid w:val="00D2256B"/>
    <w:rsid w:val="00D22F00"/>
    <w:rsid w:val="00D22F68"/>
    <w:rsid w:val="00D233CD"/>
    <w:rsid w:val="00D233EB"/>
    <w:rsid w:val="00D23873"/>
    <w:rsid w:val="00D23947"/>
    <w:rsid w:val="00D23A2C"/>
    <w:rsid w:val="00D2402B"/>
    <w:rsid w:val="00D24057"/>
    <w:rsid w:val="00D241E7"/>
    <w:rsid w:val="00D248E8"/>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1EC7"/>
    <w:rsid w:val="00D3204C"/>
    <w:rsid w:val="00D321E2"/>
    <w:rsid w:val="00D32235"/>
    <w:rsid w:val="00D323FA"/>
    <w:rsid w:val="00D3280C"/>
    <w:rsid w:val="00D3298C"/>
    <w:rsid w:val="00D339CF"/>
    <w:rsid w:val="00D33A49"/>
    <w:rsid w:val="00D341FA"/>
    <w:rsid w:val="00D34228"/>
    <w:rsid w:val="00D34377"/>
    <w:rsid w:val="00D34671"/>
    <w:rsid w:val="00D3470D"/>
    <w:rsid w:val="00D35911"/>
    <w:rsid w:val="00D35C08"/>
    <w:rsid w:val="00D35FB9"/>
    <w:rsid w:val="00D361B7"/>
    <w:rsid w:val="00D3699E"/>
    <w:rsid w:val="00D36AEF"/>
    <w:rsid w:val="00D36BD2"/>
    <w:rsid w:val="00D36DED"/>
    <w:rsid w:val="00D36E06"/>
    <w:rsid w:val="00D36E6F"/>
    <w:rsid w:val="00D3705A"/>
    <w:rsid w:val="00D37129"/>
    <w:rsid w:val="00D373C2"/>
    <w:rsid w:val="00D3757D"/>
    <w:rsid w:val="00D4007B"/>
    <w:rsid w:val="00D406FE"/>
    <w:rsid w:val="00D40B79"/>
    <w:rsid w:val="00D40BCB"/>
    <w:rsid w:val="00D40C37"/>
    <w:rsid w:val="00D40C88"/>
    <w:rsid w:val="00D40F0A"/>
    <w:rsid w:val="00D412FB"/>
    <w:rsid w:val="00D415E0"/>
    <w:rsid w:val="00D4181A"/>
    <w:rsid w:val="00D41AAF"/>
    <w:rsid w:val="00D4225E"/>
    <w:rsid w:val="00D4247C"/>
    <w:rsid w:val="00D42A1E"/>
    <w:rsid w:val="00D43D45"/>
    <w:rsid w:val="00D44DF3"/>
    <w:rsid w:val="00D44E08"/>
    <w:rsid w:val="00D44EB5"/>
    <w:rsid w:val="00D451B1"/>
    <w:rsid w:val="00D4555A"/>
    <w:rsid w:val="00D458B1"/>
    <w:rsid w:val="00D459A1"/>
    <w:rsid w:val="00D45CBC"/>
    <w:rsid w:val="00D468FB"/>
    <w:rsid w:val="00D46A0D"/>
    <w:rsid w:val="00D46FA8"/>
    <w:rsid w:val="00D47194"/>
    <w:rsid w:val="00D476C4"/>
    <w:rsid w:val="00D47B45"/>
    <w:rsid w:val="00D502F7"/>
    <w:rsid w:val="00D50414"/>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577E2"/>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A9D"/>
    <w:rsid w:val="00D6365A"/>
    <w:rsid w:val="00D63866"/>
    <w:rsid w:val="00D6394D"/>
    <w:rsid w:val="00D63ACC"/>
    <w:rsid w:val="00D63B77"/>
    <w:rsid w:val="00D63D5F"/>
    <w:rsid w:val="00D6406C"/>
    <w:rsid w:val="00D64096"/>
    <w:rsid w:val="00D6524B"/>
    <w:rsid w:val="00D65E1E"/>
    <w:rsid w:val="00D66449"/>
    <w:rsid w:val="00D666BD"/>
    <w:rsid w:val="00D66F2B"/>
    <w:rsid w:val="00D672D1"/>
    <w:rsid w:val="00D677E2"/>
    <w:rsid w:val="00D70471"/>
    <w:rsid w:val="00D70719"/>
    <w:rsid w:val="00D71010"/>
    <w:rsid w:val="00D71296"/>
    <w:rsid w:val="00D7132C"/>
    <w:rsid w:val="00D723D0"/>
    <w:rsid w:val="00D7258C"/>
    <w:rsid w:val="00D72741"/>
    <w:rsid w:val="00D72E82"/>
    <w:rsid w:val="00D73179"/>
    <w:rsid w:val="00D7371E"/>
    <w:rsid w:val="00D73721"/>
    <w:rsid w:val="00D73838"/>
    <w:rsid w:val="00D73FE9"/>
    <w:rsid w:val="00D741AA"/>
    <w:rsid w:val="00D741C0"/>
    <w:rsid w:val="00D74221"/>
    <w:rsid w:val="00D744B9"/>
    <w:rsid w:val="00D74604"/>
    <w:rsid w:val="00D74BBD"/>
    <w:rsid w:val="00D74CFE"/>
    <w:rsid w:val="00D750A0"/>
    <w:rsid w:val="00D7581F"/>
    <w:rsid w:val="00D75C3A"/>
    <w:rsid w:val="00D75F46"/>
    <w:rsid w:val="00D7641C"/>
    <w:rsid w:val="00D7662C"/>
    <w:rsid w:val="00D76768"/>
    <w:rsid w:val="00D767B2"/>
    <w:rsid w:val="00D76B5A"/>
    <w:rsid w:val="00D7728D"/>
    <w:rsid w:val="00D77E8D"/>
    <w:rsid w:val="00D804F1"/>
    <w:rsid w:val="00D80530"/>
    <w:rsid w:val="00D80549"/>
    <w:rsid w:val="00D809D7"/>
    <w:rsid w:val="00D81113"/>
    <w:rsid w:val="00D81697"/>
    <w:rsid w:val="00D816A0"/>
    <w:rsid w:val="00D81FEB"/>
    <w:rsid w:val="00D825BB"/>
    <w:rsid w:val="00D83391"/>
    <w:rsid w:val="00D835A5"/>
    <w:rsid w:val="00D835DF"/>
    <w:rsid w:val="00D8365D"/>
    <w:rsid w:val="00D83706"/>
    <w:rsid w:val="00D83775"/>
    <w:rsid w:val="00D84868"/>
    <w:rsid w:val="00D84B38"/>
    <w:rsid w:val="00D84BB5"/>
    <w:rsid w:val="00D85A5F"/>
    <w:rsid w:val="00D85B35"/>
    <w:rsid w:val="00D8692A"/>
    <w:rsid w:val="00D86D30"/>
    <w:rsid w:val="00D870BB"/>
    <w:rsid w:val="00D87283"/>
    <w:rsid w:val="00D87395"/>
    <w:rsid w:val="00D87AF1"/>
    <w:rsid w:val="00D90085"/>
    <w:rsid w:val="00D903BA"/>
    <w:rsid w:val="00D90413"/>
    <w:rsid w:val="00D90614"/>
    <w:rsid w:val="00D90BE1"/>
    <w:rsid w:val="00D913E3"/>
    <w:rsid w:val="00D913F7"/>
    <w:rsid w:val="00D914F2"/>
    <w:rsid w:val="00D917D5"/>
    <w:rsid w:val="00D91B6B"/>
    <w:rsid w:val="00D91DF1"/>
    <w:rsid w:val="00D91E95"/>
    <w:rsid w:val="00D91E97"/>
    <w:rsid w:val="00D91EDE"/>
    <w:rsid w:val="00D91FAB"/>
    <w:rsid w:val="00D9280B"/>
    <w:rsid w:val="00D9302D"/>
    <w:rsid w:val="00D930FD"/>
    <w:rsid w:val="00D935D1"/>
    <w:rsid w:val="00D9377C"/>
    <w:rsid w:val="00D945F0"/>
    <w:rsid w:val="00D94BCC"/>
    <w:rsid w:val="00D94BD7"/>
    <w:rsid w:val="00D94FE4"/>
    <w:rsid w:val="00D9515D"/>
    <w:rsid w:val="00D95439"/>
    <w:rsid w:val="00D9578B"/>
    <w:rsid w:val="00D95A81"/>
    <w:rsid w:val="00D960FE"/>
    <w:rsid w:val="00D96283"/>
    <w:rsid w:val="00D96514"/>
    <w:rsid w:val="00D965CE"/>
    <w:rsid w:val="00D967AD"/>
    <w:rsid w:val="00D96D45"/>
    <w:rsid w:val="00D97029"/>
    <w:rsid w:val="00D974BD"/>
    <w:rsid w:val="00D97795"/>
    <w:rsid w:val="00D97812"/>
    <w:rsid w:val="00D978A4"/>
    <w:rsid w:val="00D97C28"/>
    <w:rsid w:val="00D97CC7"/>
    <w:rsid w:val="00DA00A9"/>
    <w:rsid w:val="00DA015C"/>
    <w:rsid w:val="00DA0217"/>
    <w:rsid w:val="00DA0310"/>
    <w:rsid w:val="00DA037B"/>
    <w:rsid w:val="00DA0393"/>
    <w:rsid w:val="00DA0599"/>
    <w:rsid w:val="00DA0616"/>
    <w:rsid w:val="00DA06F1"/>
    <w:rsid w:val="00DA0B15"/>
    <w:rsid w:val="00DA1AB7"/>
    <w:rsid w:val="00DA1C2E"/>
    <w:rsid w:val="00DA2079"/>
    <w:rsid w:val="00DA2153"/>
    <w:rsid w:val="00DA2156"/>
    <w:rsid w:val="00DA23A1"/>
    <w:rsid w:val="00DA2508"/>
    <w:rsid w:val="00DA272C"/>
    <w:rsid w:val="00DA281F"/>
    <w:rsid w:val="00DA2A11"/>
    <w:rsid w:val="00DA2F4F"/>
    <w:rsid w:val="00DA3AAA"/>
    <w:rsid w:val="00DA3D27"/>
    <w:rsid w:val="00DA436F"/>
    <w:rsid w:val="00DA439A"/>
    <w:rsid w:val="00DA4C81"/>
    <w:rsid w:val="00DA4DEC"/>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30B"/>
    <w:rsid w:val="00DB058A"/>
    <w:rsid w:val="00DB16C9"/>
    <w:rsid w:val="00DB16E7"/>
    <w:rsid w:val="00DB1956"/>
    <w:rsid w:val="00DB1AFB"/>
    <w:rsid w:val="00DB2265"/>
    <w:rsid w:val="00DB28F0"/>
    <w:rsid w:val="00DB30BB"/>
    <w:rsid w:val="00DB325C"/>
    <w:rsid w:val="00DB33A4"/>
    <w:rsid w:val="00DB33BD"/>
    <w:rsid w:val="00DB33C4"/>
    <w:rsid w:val="00DB373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432"/>
    <w:rsid w:val="00DB77BB"/>
    <w:rsid w:val="00DB78C1"/>
    <w:rsid w:val="00DB7D5B"/>
    <w:rsid w:val="00DC0279"/>
    <w:rsid w:val="00DC0400"/>
    <w:rsid w:val="00DC0A4E"/>
    <w:rsid w:val="00DC0BD3"/>
    <w:rsid w:val="00DC1700"/>
    <w:rsid w:val="00DC1A53"/>
    <w:rsid w:val="00DC1C5F"/>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5F86"/>
    <w:rsid w:val="00DC6075"/>
    <w:rsid w:val="00DC6262"/>
    <w:rsid w:val="00DC681C"/>
    <w:rsid w:val="00DC6FCE"/>
    <w:rsid w:val="00DC787D"/>
    <w:rsid w:val="00DC7A03"/>
    <w:rsid w:val="00DD01C8"/>
    <w:rsid w:val="00DD0B0D"/>
    <w:rsid w:val="00DD1265"/>
    <w:rsid w:val="00DD12FC"/>
    <w:rsid w:val="00DD185D"/>
    <w:rsid w:val="00DD1977"/>
    <w:rsid w:val="00DD1BE7"/>
    <w:rsid w:val="00DD226B"/>
    <w:rsid w:val="00DD2553"/>
    <w:rsid w:val="00DD2CA5"/>
    <w:rsid w:val="00DD3471"/>
    <w:rsid w:val="00DD3A10"/>
    <w:rsid w:val="00DD474B"/>
    <w:rsid w:val="00DD4842"/>
    <w:rsid w:val="00DD4A99"/>
    <w:rsid w:val="00DD50C2"/>
    <w:rsid w:val="00DD5851"/>
    <w:rsid w:val="00DD5946"/>
    <w:rsid w:val="00DD5C09"/>
    <w:rsid w:val="00DD6479"/>
    <w:rsid w:val="00DD681D"/>
    <w:rsid w:val="00DD7183"/>
    <w:rsid w:val="00DD72F4"/>
    <w:rsid w:val="00DD7388"/>
    <w:rsid w:val="00DD77E5"/>
    <w:rsid w:val="00DD7C77"/>
    <w:rsid w:val="00DE182F"/>
    <w:rsid w:val="00DE18A4"/>
    <w:rsid w:val="00DE2130"/>
    <w:rsid w:val="00DE238E"/>
    <w:rsid w:val="00DE2775"/>
    <w:rsid w:val="00DE2BE0"/>
    <w:rsid w:val="00DE2C22"/>
    <w:rsid w:val="00DE3259"/>
    <w:rsid w:val="00DE327F"/>
    <w:rsid w:val="00DE33D0"/>
    <w:rsid w:val="00DE34A3"/>
    <w:rsid w:val="00DE3511"/>
    <w:rsid w:val="00DE3794"/>
    <w:rsid w:val="00DE3824"/>
    <w:rsid w:val="00DE4581"/>
    <w:rsid w:val="00DE494A"/>
    <w:rsid w:val="00DE4C8B"/>
    <w:rsid w:val="00DE4DC5"/>
    <w:rsid w:val="00DE4EDE"/>
    <w:rsid w:val="00DE5257"/>
    <w:rsid w:val="00DE58DB"/>
    <w:rsid w:val="00DE636E"/>
    <w:rsid w:val="00DE640A"/>
    <w:rsid w:val="00DE6456"/>
    <w:rsid w:val="00DE6BB5"/>
    <w:rsid w:val="00DE6DFB"/>
    <w:rsid w:val="00DE7B52"/>
    <w:rsid w:val="00DE7DDF"/>
    <w:rsid w:val="00DE7F33"/>
    <w:rsid w:val="00DF0214"/>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003"/>
    <w:rsid w:val="00DF72D4"/>
    <w:rsid w:val="00DF7338"/>
    <w:rsid w:val="00DF736D"/>
    <w:rsid w:val="00DF7863"/>
    <w:rsid w:val="00DF7994"/>
    <w:rsid w:val="00E00186"/>
    <w:rsid w:val="00E0027A"/>
    <w:rsid w:val="00E00468"/>
    <w:rsid w:val="00E00933"/>
    <w:rsid w:val="00E00A40"/>
    <w:rsid w:val="00E0129D"/>
    <w:rsid w:val="00E013AE"/>
    <w:rsid w:val="00E015EC"/>
    <w:rsid w:val="00E018BF"/>
    <w:rsid w:val="00E01AD5"/>
    <w:rsid w:val="00E01AEA"/>
    <w:rsid w:val="00E01B37"/>
    <w:rsid w:val="00E02230"/>
    <w:rsid w:val="00E02A0D"/>
    <w:rsid w:val="00E03183"/>
    <w:rsid w:val="00E037EA"/>
    <w:rsid w:val="00E03ED2"/>
    <w:rsid w:val="00E0416E"/>
    <w:rsid w:val="00E04208"/>
    <w:rsid w:val="00E04E48"/>
    <w:rsid w:val="00E051F3"/>
    <w:rsid w:val="00E055DC"/>
    <w:rsid w:val="00E059DA"/>
    <w:rsid w:val="00E05C88"/>
    <w:rsid w:val="00E06726"/>
    <w:rsid w:val="00E067AC"/>
    <w:rsid w:val="00E07053"/>
    <w:rsid w:val="00E07125"/>
    <w:rsid w:val="00E072A4"/>
    <w:rsid w:val="00E0764B"/>
    <w:rsid w:val="00E07B0F"/>
    <w:rsid w:val="00E07D3F"/>
    <w:rsid w:val="00E07E9C"/>
    <w:rsid w:val="00E100BC"/>
    <w:rsid w:val="00E1021A"/>
    <w:rsid w:val="00E1035C"/>
    <w:rsid w:val="00E103D4"/>
    <w:rsid w:val="00E1100B"/>
    <w:rsid w:val="00E117A9"/>
    <w:rsid w:val="00E11AC1"/>
    <w:rsid w:val="00E11ACF"/>
    <w:rsid w:val="00E12895"/>
    <w:rsid w:val="00E12954"/>
    <w:rsid w:val="00E12AFC"/>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28"/>
    <w:rsid w:val="00E17045"/>
    <w:rsid w:val="00E1708D"/>
    <w:rsid w:val="00E17221"/>
    <w:rsid w:val="00E1744A"/>
    <w:rsid w:val="00E17CAF"/>
    <w:rsid w:val="00E17D86"/>
    <w:rsid w:val="00E17EBF"/>
    <w:rsid w:val="00E209C8"/>
    <w:rsid w:val="00E20C69"/>
    <w:rsid w:val="00E20FEC"/>
    <w:rsid w:val="00E2134B"/>
    <w:rsid w:val="00E2169B"/>
    <w:rsid w:val="00E2177E"/>
    <w:rsid w:val="00E2191F"/>
    <w:rsid w:val="00E21F78"/>
    <w:rsid w:val="00E2201E"/>
    <w:rsid w:val="00E2212E"/>
    <w:rsid w:val="00E223B2"/>
    <w:rsid w:val="00E22699"/>
    <w:rsid w:val="00E22DFF"/>
    <w:rsid w:val="00E22F7D"/>
    <w:rsid w:val="00E232AA"/>
    <w:rsid w:val="00E23585"/>
    <w:rsid w:val="00E23BC9"/>
    <w:rsid w:val="00E24176"/>
    <w:rsid w:val="00E2468F"/>
    <w:rsid w:val="00E2485E"/>
    <w:rsid w:val="00E2499B"/>
    <w:rsid w:val="00E24FCA"/>
    <w:rsid w:val="00E2584F"/>
    <w:rsid w:val="00E2597B"/>
    <w:rsid w:val="00E26117"/>
    <w:rsid w:val="00E26296"/>
    <w:rsid w:val="00E26EB2"/>
    <w:rsid w:val="00E26ED4"/>
    <w:rsid w:val="00E26F6D"/>
    <w:rsid w:val="00E27069"/>
    <w:rsid w:val="00E2707F"/>
    <w:rsid w:val="00E274DA"/>
    <w:rsid w:val="00E276FB"/>
    <w:rsid w:val="00E301B4"/>
    <w:rsid w:val="00E303CF"/>
    <w:rsid w:val="00E304F7"/>
    <w:rsid w:val="00E306DC"/>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31D"/>
    <w:rsid w:val="00E34507"/>
    <w:rsid w:val="00E34ECA"/>
    <w:rsid w:val="00E350A8"/>
    <w:rsid w:val="00E353C3"/>
    <w:rsid w:val="00E353F9"/>
    <w:rsid w:val="00E35654"/>
    <w:rsid w:val="00E3652E"/>
    <w:rsid w:val="00E36789"/>
    <w:rsid w:val="00E36D17"/>
    <w:rsid w:val="00E36F35"/>
    <w:rsid w:val="00E36FD3"/>
    <w:rsid w:val="00E371EE"/>
    <w:rsid w:val="00E3723B"/>
    <w:rsid w:val="00E37329"/>
    <w:rsid w:val="00E37608"/>
    <w:rsid w:val="00E37DA8"/>
    <w:rsid w:val="00E401A9"/>
    <w:rsid w:val="00E402CA"/>
    <w:rsid w:val="00E40392"/>
    <w:rsid w:val="00E40ADF"/>
    <w:rsid w:val="00E40E97"/>
    <w:rsid w:val="00E41263"/>
    <w:rsid w:val="00E412B9"/>
    <w:rsid w:val="00E41639"/>
    <w:rsid w:val="00E41ADC"/>
    <w:rsid w:val="00E41CAE"/>
    <w:rsid w:val="00E4252D"/>
    <w:rsid w:val="00E4290D"/>
    <w:rsid w:val="00E42CBB"/>
    <w:rsid w:val="00E43422"/>
    <w:rsid w:val="00E451E3"/>
    <w:rsid w:val="00E453DF"/>
    <w:rsid w:val="00E4566C"/>
    <w:rsid w:val="00E46558"/>
    <w:rsid w:val="00E46574"/>
    <w:rsid w:val="00E473F2"/>
    <w:rsid w:val="00E47687"/>
    <w:rsid w:val="00E47D8B"/>
    <w:rsid w:val="00E47DC9"/>
    <w:rsid w:val="00E504F4"/>
    <w:rsid w:val="00E50721"/>
    <w:rsid w:val="00E50761"/>
    <w:rsid w:val="00E508E1"/>
    <w:rsid w:val="00E508ED"/>
    <w:rsid w:val="00E50E67"/>
    <w:rsid w:val="00E5157D"/>
    <w:rsid w:val="00E51EAD"/>
    <w:rsid w:val="00E52A41"/>
    <w:rsid w:val="00E52AAF"/>
    <w:rsid w:val="00E53506"/>
    <w:rsid w:val="00E5372F"/>
    <w:rsid w:val="00E53AC9"/>
    <w:rsid w:val="00E53B0D"/>
    <w:rsid w:val="00E540E9"/>
    <w:rsid w:val="00E549DE"/>
    <w:rsid w:val="00E54C46"/>
    <w:rsid w:val="00E55EE8"/>
    <w:rsid w:val="00E55F59"/>
    <w:rsid w:val="00E5604A"/>
    <w:rsid w:val="00E5614B"/>
    <w:rsid w:val="00E56542"/>
    <w:rsid w:val="00E5667F"/>
    <w:rsid w:val="00E5678B"/>
    <w:rsid w:val="00E569D6"/>
    <w:rsid w:val="00E56C4B"/>
    <w:rsid w:val="00E56E5B"/>
    <w:rsid w:val="00E573F3"/>
    <w:rsid w:val="00E57416"/>
    <w:rsid w:val="00E57610"/>
    <w:rsid w:val="00E57874"/>
    <w:rsid w:val="00E60268"/>
    <w:rsid w:val="00E60901"/>
    <w:rsid w:val="00E60EE7"/>
    <w:rsid w:val="00E61114"/>
    <w:rsid w:val="00E61215"/>
    <w:rsid w:val="00E61535"/>
    <w:rsid w:val="00E61D17"/>
    <w:rsid w:val="00E621EE"/>
    <w:rsid w:val="00E62355"/>
    <w:rsid w:val="00E62FF9"/>
    <w:rsid w:val="00E6307B"/>
    <w:rsid w:val="00E638EB"/>
    <w:rsid w:val="00E639A4"/>
    <w:rsid w:val="00E63D12"/>
    <w:rsid w:val="00E64090"/>
    <w:rsid w:val="00E64867"/>
    <w:rsid w:val="00E6536C"/>
    <w:rsid w:val="00E654A9"/>
    <w:rsid w:val="00E6567C"/>
    <w:rsid w:val="00E65751"/>
    <w:rsid w:val="00E65EE2"/>
    <w:rsid w:val="00E66119"/>
    <w:rsid w:val="00E66362"/>
    <w:rsid w:val="00E664F5"/>
    <w:rsid w:val="00E6665F"/>
    <w:rsid w:val="00E66DAE"/>
    <w:rsid w:val="00E67CAF"/>
    <w:rsid w:val="00E700D6"/>
    <w:rsid w:val="00E707EB"/>
    <w:rsid w:val="00E708FF"/>
    <w:rsid w:val="00E70A6C"/>
    <w:rsid w:val="00E7164D"/>
    <w:rsid w:val="00E71F92"/>
    <w:rsid w:val="00E722B7"/>
    <w:rsid w:val="00E72F76"/>
    <w:rsid w:val="00E73354"/>
    <w:rsid w:val="00E736AB"/>
    <w:rsid w:val="00E73AE4"/>
    <w:rsid w:val="00E74352"/>
    <w:rsid w:val="00E746EC"/>
    <w:rsid w:val="00E74856"/>
    <w:rsid w:val="00E74BCC"/>
    <w:rsid w:val="00E7518B"/>
    <w:rsid w:val="00E7554B"/>
    <w:rsid w:val="00E75566"/>
    <w:rsid w:val="00E75A70"/>
    <w:rsid w:val="00E75DEE"/>
    <w:rsid w:val="00E76189"/>
    <w:rsid w:val="00E76799"/>
    <w:rsid w:val="00E774E1"/>
    <w:rsid w:val="00E80251"/>
    <w:rsid w:val="00E80A40"/>
    <w:rsid w:val="00E80CAE"/>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3C06"/>
    <w:rsid w:val="00E849C7"/>
    <w:rsid w:val="00E84BBC"/>
    <w:rsid w:val="00E84C12"/>
    <w:rsid w:val="00E853F2"/>
    <w:rsid w:val="00E8566F"/>
    <w:rsid w:val="00E859CF"/>
    <w:rsid w:val="00E85D7E"/>
    <w:rsid w:val="00E85E4A"/>
    <w:rsid w:val="00E86309"/>
    <w:rsid w:val="00E866E9"/>
    <w:rsid w:val="00E86B7A"/>
    <w:rsid w:val="00E86B94"/>
    <w:rsid w:val="00E86DED"/>
    <w:rsid w:val="00E87508"/>
    <w:rsid w:val="00E8763B"/>
    <w:rsid w:val="00E87B11"/>
    <w:rsid w:val="00E87CC4"/>
    <w:rsid w:val="00E87E31"/>
    <w:rsid w:val="00E87EC7"/>
    <w:rsid w:val="00E906FC"/>
    <w:rsid w:val="00E912DE"/>
    <w:rsid w:val="00E91596"/>
    <w:rsid w:val="00E9249A"/>
    <w:rsid w:val="00E925C3"/>
    <w:rsid w:val="00E92E20"/>
    <w:rsid w:val="00E93052"/>
    <w:rsid w:val="00E9375D"/>
    <w:rsid w:val="00E93980"/>
    <w:rsid w:val="00E93D45"/>
    <w:rsid w:val="00E94AC3"/>
    <w:rsid w:val="00E95568"/>
    <w:rsid w:val="00E95A42"/>
    <w:rsid w:val="00E95DC9"/>
    <w:rsid w:val="00E95F59"/>
    <w:rsid w:val="00E9601F"/>
    <w:rsid w:val="00E97020"/>
    <w:rsid w:val="00E9751D"/>
    <w:rsid w:val="00E979A7"/>
    <w:rsid w:val="00E97A01"/>
    <w:rsid w:val="00E97C8C"/>
    <w:rsid w:val="00EA01C6"/>
    <w:rsid w:val="00EA01CE"/>
    <w:rsid w:val="00EA05C2"/>
    <w:rsid w:val="00EA0952"/>
    <w:rsid w:val="00EA0EEA"/>
    <w:rsid w:val="00EA15FF"/>
    <w:rsid w:val="00EA16D2"/>
    <w:rsid w:val="00EA18B0"/>
    <w:rsid w:val="00EA1E0E"/>
    <w:rsid w:val="00EA1F36"/>
    <w:rsid w:val="00EA25A0"/>
    <w:rsid w:val="00EA26C7"/>
    <w:rsid w:val="00EA2B66"/>
    <w:rsid w:val="00EA34FE"/>
    <w:rsid w:val="00EA40B1"/>
    <w:rsid w:val="00EA4174"/>
    <w:rsid w:val="00EA43AD"/>
    <w:rsid w:val="00EA4E55"/>
    <w:rsid w:val="00EA4EF3"/>
    <w:rsid w:val="00EA5911"/>
    <w:rsid w:val="00EA5F68"/>
    <w:rsid w:val="00EA5FDD"/>
    <w:rsid w:val="00EA61C7"/>
    <w:rsid w:val="00EA61C9"/>
    <w:rsid w:val="00EA6249"/>
    <w:rsid w:val="00EA69D1"/>
    <w:rsid w:val="00EA77BE"/>
    <w:rsid w:val="00EA78BE"/>
    <w:rsid w:val="00EA7AC7"/>
    <w:rsid w:val="00EA7BF6"/>
    <w:rsid w:val="00EA7C22"/>
    <w:rsid w:val="00EA7CD0"/>
    <w:rsid w:val="00EA7D46"/>
    <w:rsid w:val="00EB064C"/>
    <w:rsid w:val="00EB1110"/>
    <w:rsid w:val="00EB17DE"/>
    <w:rsid w:val="00EB1A82"/>
    <w:rsid w:val="00EB2171"/>
    <w:rsid w:val="00EB2355"/>
    <w:rsid w:val="00EB255D"/>
    <w:rsid w:val="00EB2628"/>
    <w:rsid w:val="00EB27AB"/>
    <w:rsid w:val="00EB33B5"/>
    <w:rsid w:val="00EB3527"/>
    <w:rsid w:val="00EB4466"/>
    <w:rsid w:val="00EB44C6"/>
    <w:rsid w:val="00EB47EB"/>
    <w:rsid w:val="00EB4917"/>
    <w:rsid w:val="00EB5854"/>
    <w:rsid w:val="00EB588D"/>
    <w:rsid w:val="00EB5DF1"/>
    <w:rsid w:val="00EB5F2A"/>
    <w:rsid w:val="00EB6116"/>
    <w:rsid w:val="00EB633E"/>
    <w:rsid w:val="00EB661D"/>
    <w:rsid w:val="00EB6789"/>
    <w:rsid w:val="00EB6840"/>
    <w:rsid w:val="00EB6DB0"/>
    <w:rsid w:val="00EB793A"/>
    <w:rsid w:val="00EB7940"/>
    <w:rsid w:val="00EB7A23"/>
    <w:rsid w:val="00EB7BE4"/>
    <w:rsid w:val="00EC0213"/>
    <w:rsid w:val="00EC03F3"/>
    <w:rsid w:val="00EC0D85"/>
    <w:rsid w:val="00EC0FA3"/>
    <w:rsid w:val="00EC160D"/>
    <w:rsid w:val="00EC1636"/>
    <w:rsid w:val="00EC212A"/>
    <w:rsid w:val="00EC2427"/>
    <w:rsid w:val="00EC25BA"/>
    <w:rsid w:val="00EC2FF7"/>
    <w:rsid w:val="00EC3DF1"/>
    <w:rsid w:val="00EC436E"/>
    <w:rsid w:val="00EC4423"/>
    <w:rsid w:val="00EC44A2"/>
    <w:rsid w:val="00EC45B8"/>
    <w:rsid w:val="00EC4BE9"/>
    <w:rsid w:val="00EC4DBA"/>
    <w:rsid w:val="00EC50EF"/>
    <w:rsid w:val="00EC534C"/>
    <w:rsid w:val="00EC55E3"/>
    <w:rsid w:val="00EC57FF"/>
    <w:rsid w:val="00EC5854"/>
    <w:rsid w:val="00EC6032"/>
    <w:rsid w:val="00EC6375"/>
    <w:rsid w:val="00EC63EC"/>
    <w:rsid w:val="00EC64B5"/>
    <w:rsid w:val="00EC6AB3"/>
    <w:rsid w:val="00EC7199"/>
    <w:rsid w:val="00EC73A3"/>
    <w:rsid w:val="00EC74EF"/>
    <w:rsid w:val="00EC782D"/>
    <w:rsid w:val="00EC785F"/>
    <w:rsid w:val="00EC7CA9"/>
    <w:rsid w:val="00EC7DA7"/>
    <w:rsid w:val="00ED0603"/>
    <w:rsid w:val="00ED064B"/>
    <w:rsid w:val="00ED069E"/>
    <w:rsid w:val="00ED0C81"/>
    <w:rsid w:val="00ED0F51"/>
    <w:rsid w:val="00ED1DCE"/>
    <w:rsid w:val="00ED228C"/>
    <w:rsid w:val="00ED2840"/>
    <w:rsid w:val="00ED2929"/>
    <w:rsid w:val="00ED29EE"/>
    <w:rsid w:val="00ED2CD7"/>
    <w:rsid w:val="00ED3387"/>
    <w:rsid w:val="00ED35E7"/>
    <w:rsid w:val="00ED3DF8"/>
    <w:rsid w:val="00ED41CC"/>
    <w:rsid w:val="00ED477F"/>
    <w:rsid w:val="00ED4C1D"/>
    <w:rsid w:val="00ED4EF5"/>
    <w:rsid w:val="00ED52D6"/>
    <w:rsid w:val="00ED583B"/>
    <w:rsid w:val="00ED5975"/>
    <w:rsid w:val="00ED5A67"/>
    <w:rsid w:val="00ED5B95"/>
    <w:rsid w:val="00ED62AD"/>
    <w:rsid w:val="00ED6B28"/>
    <w:rsid w:val="00ED720D"/>
    <w:rsid w:val="00ED7331"/>
    <w:rsid w:val="00ED7D5E"/>
    <w:rsid w:val="00EE024C"/>
    <w:rsid w:val="00EE0C77"/>
    <w:rsid w:val="00EE0E76"/>
    <w:rsid w:val="00EE13D1"/>
    <w:rsid w:val="00EE147C"/>
    <w:rsid w:val="00EE18E9"/>
    <w:rsid w:val="00EE20F5"/>
    <w:rsid w:val="00EE2187"/>
    <w:rsid w:val="00EE2478"/>
    <w:rsid w:val="00EE2571"/>
    <w:rsid w:val="00EE2BAF"/>
    <w:rsid w:val="00EE2D8A"/>
    <w:rsid w:val="00EE2EC9"/>
    <w:rsid w:val="00EE363C"/>
    <w:rsid w:val="00EE37D6"/>
    <w:rsid w:val="00EE3C64"/>
    <w:rsid w:val="00EE3EB4"/>
    <w:rsid w:val="00EE3EED"/>
    <w:rsid w:val="00EE47BC"/>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464"/>
    <w:rsid w:val="00EF172C"/>
    <w:rsid w:val="00EF1B75"/>
    <w:rsid w:val="00EF1BF7"/>
    <w:rsid w:val="00EF1E64"/>
    <w:rsid w:val="00EF2B47"/>
    <w:rsid w:val="00EF2DC0"/>
    <w:rsid w:val="00EF2DF3"/>
    <w:rsid w:val="00EF2E49"/>
    <w:rsid w:val="00EF30A6"/>
    <w:rsid w:val="00EF3214"/>
    <w:rsid w:val="00EF33E6"/>
    <w:rsid w:val="00EF38EC"/>
    <w:rsid w:val="00EF3A3F"/>
    <w:rsid w:val="00EF3B54"/>
    <w:rsid w:val="00EF3BE6"/>
    <w:rsid w:val="00EF3FC3"/>
    <w:rsid w:val="00EF4159"/>
    <w:rsid w:val="00EF417B"/>
    <w:rsid w:val="00EF42BF"/>
    <w:rsid w:val="00EF437E"/>
    <w:rsid w:val="00EF4662"/>
    <w:rsid w:val="00EF5178"/>
    <w:rsid w:val="00EF5249"/>
    <w:rsid w:val="00EF5342"/>
    <w:rsid w:val="00EF5DC1"/>
    <w:rsid w:val="00EF5E8B"/>
    <w:rsid w:val="00EF63C0"/>
    <w:rsid w:val="00EF65F1"/>
    <w:rsid w:val="00EF666C"/>
    <w:rsid w:val="00EF69A1"/>
    <w:rsid w:val="00EF6A36"/>
    <w:rsid w:val="00EF6CD2"/>
    <w:rsid w:val="00EF7CAE"/>
    <w:rsid w:val="00F0064A"/>
    <w:rsid w:val="00F0069C"/>
    <w:rsid w:val="00F00BD0"/>
    <w:rsid w:val="00F01311"/>
    <w:rsid w:val="00F01885"/>
    <w:rsid w:val="00F020BB"/>
    <w:rsid w:val="00F0225B"/>
    <w:rsid w:val="00F023A5"/>
    <w:rsid w:val="00F0262F"/>
    <w:rsid w:val="00F02B3A"/>
    <w:rsid w:val="00F0388D"/>
    <w:rsid w:val="00F04405"/>
    <w:rsid w:val="00F04BC5"/>
    <w:rsid w:val="00F04BF0"/>
    <w:rsid w:val="00F04D10"/>
    <w:rsid w:val="00F04DC9"/>
    <w:rsid w:val="00F05047"/>
    <w:rsid w:val="00F05458"/>
    <w:rsid w:val="00F05975"/>
    <w:rsid w:val="00F05A47"/>
    <w:rsid w:val="00F05BC1"/>
    <w:rsid w:val="00F05C43"/>
    <w:rsid w:val="00F06190"/>
    <w:rsid w:val="00F0671C"/>
    <w:rsid w:val="00F06788"/>
    <w:rsid w:val="00F0678B"/>
    <w:rsid w:val="00F07494"/>
    <w:rsid w:val="00F076AF"/>
    <w:rsid w:val="00F0789F"/>
    <w:rsid w:val="00F0797C"/>
    <w:rsid w:val="00F101A5"/>
    <w:rsid w:val="00F103B7"/>
    <w:rsid w:val="00F10433"/>
    <w:rsid w:val="00F108B4"/>
    <w:rsid w:val="00F10AD6"/>
    <w:rsid w:val="00F113DA"/>
    <w:rsid w:val="00F11EC9"/>
    <w:rsid w:val="00F1239B"/>
    <w:rsid w:val="00F127FD"/>
    <w:rsid w:val="00F1294D"/>
    <w:rsid w:val="00F12DFE"/>
    <w:rsid w:val="00F13049"/>
    <w:rsid w:val="00F13409"/>
    <w:rsid w:val="00F136BF"/>
    <w:rsid w:val="00F137F3"/>
    <w:rsid w:val="00F14057"/>
    <w:rsid w:val="00F1409F"/>
    <w:rsid w:val="00F140BA"/>
    <w:rsid w:val="00F14247"/>
    <w:rsid w:val="00F14405"/>
    <w:rsid w:val="00F14A43"/>
    <w:rsid w:val="00F14C98"/>
    <w:rsid w:val="00F14CDB"/>
    <w:rsid w:val="00F14EC2"/>
    <w:rsid w:val="00F150CD"/>
    <w:rsid w:val="00F1531D"/>
    <w:rsid w:val="00F1539B"/>
    <w:rsid w:val="00F15541"/>
    <w:rsid w:val="00F15AF6"/>
    <w:rsid w:val="00F15B3D"/>
    <w:rsid w:val="00F15D35"/>
    <w:rsid w:val="00F15FD6"/>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215"/>
    <w:rsid w:val="00F2330D"/>
    <w:rsid w:val="00F23383"/>
    <w:rsid w:val="00F23744"/>
    <w:rsid w:val="00F2380A"/>
    <w:rsid w:val="00F2393F"/>
    <w:rsid w:val="00F23A50"/>
    <w:rsid w:val="00F23FC1"/>
    <w:rsid w:val="00F241D6"/>
    <w:rsid w:val="00F24C10"/>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4C1"/>
    <w:rsid w:val="00F304D4"/>
    <w:rsid w:val="00F305B8"/>
    <w:rsid w:val="00F30766"/>
    <w:rsid w:val="00F30E33"/>
    <w:rsid w:val="00F30F8D"/>
    <w:rsid w:val="00F3152B"/>
    <w:rsid w:val="00F315E0"/>
    <w:rsid w:val="00F316DD"/>
    <w:rsid w:val="00F3179A"/>
    <w:rsid w:val="00F31C17"/>
    <w:rsid w:val="00F32562"/>
    <w:rsid w:val="00F32630"/>
    <w:rsid w:val="00F32863"/>
    <w:rsid w:val="00F33B17"/>
    <w:rsid w:val="00F33BD5"/>
    <w:rsid w:val="00F33C7D"/>
    <w:rsid w:val="00F33DFE"/>
    <w:rsid w:val="00F342C1"/>
    <w:rsid w:val="00F347ED"/>
    <w:rsid w:val="00F348FD"/>
    <w:rsid w:val="00F35678"/>
    <w:rsid w:val="00F357DD"/>
    <w:rsid w:val="00F36398"/>
    <w:rsid w:val="00F366BB"/>
    <w:rsid w:val="00F36CEE"/>
    <w:rsid w:val="00F37034"/>
    <w:rsid w:val="00F3753F"/>
    <w:rsid w:val="00F37AE9"/>
    <w:rsid w:val="00F37D30"/>
    <w:rsid w:val="00F37F7A"/>
    <w:rsid w:val="00F401DC"/>
    <w:rsid w:val="00F403DE"/>
    <w:rsid w:val="00F404D2"/>
    <w:rsid w:val="00F4059B"/>
    <w:rsid w:val="00F40AF3"/>
    <w:rsid w:val="00F40C64"/>
    <w:rsid w:val="00F40E06"/>
    <w:rsid w:val="00F412C9"/>
    <w:rsid w:val="00F414D2"/>
    <w:rsid w:val="00F41785"/>
    <w:rsid w:val="00F418AF"/>
    <w:rsid w:val="00F418C2"/>
    <w:rsid w:val="00F4196E"/>
    <w:rsid w:val="00F419A8"/>
    <w:rsid w:val="00F41A0A"/>
    <w:rsid w:val="00F425A7"/>
    <w:rsid w:val="00F42883"/>
    <w:rsid w:val="00F429E2"/>
    <w:rsid w:val="00F4328E"/>
    <w:rsid w:val="00F4350A"/>
    <w:rsid w:val="00F43871"/>
    <w:rsid w:val="00F438C7"/>
    <w:rsid w:val="00F43C2E"/>
    <w:rsid w:val="00F43DC7"/>
    <w:rsid w:val="00F44624"/>
    <w:rsid w:val="00F446AA"/>
    <w:rsid w:val="00F44AB1"/>
    <w:rsid w:val="00F44AE1"/>
    <w:rsid w:val="00F44D95"/>
    <w:rsid w:val="00F461DF"/>
    <w:rsid w:val="00F468BE"/>
    <w:rsid w:val="00F4706C"/>
    <w:rsid w:val="00F472A3"/>
    <w:rsid w:val="00F475F7"/>
    <w:rsid w:val="00F4769C"/>
    <w:rsid w:val="00F47C10"/>
    <w:rsid w:val="00F47CD7"/>
    <w:rsid w:val="00F47F5D"/>
    <w:rsid w:val="00F5019A"/>
    <w:rsid w:val="00F50741"/>
    <w:rsid w:val="00F50AB2"/>
    <w:rsid w:val="00F51348"/>
    <w:rsid w:val="00F51773"/>
    <w:rsid w:val="00F517CF"/>
    <w:rsid w:val="00F51913"/>
    <w:rsid w:val="00F51CD8"/>
    <w:rsid w:val="00F520C3"/>
    <w:rsid w:val="00F520F9"/>
    <w:rsid w:val="00F52172"/>
    <w:rsid w:val="00F5234D"/>
    <w:rsid w:val="00F5278C"/>
    <w:rsid w:val="00F52AE9"/>
    <w:rsid w:val="00F532B7"/>
    <w:rsid w:val="00F535F4"/>
    <w:rsid w:val="00F536A5"/>
    <w:rsid w:val="00F53878"/>
    <w:rsid w:val="00F53DDE"/>
    <w:rsid w:val="00F53E4D"/>
    <w:rsid w:val="00F546E7"/>
    <w:rsid w:val="00F5473F"/>
    <w:rsid w:val="00F54A2B"/>
    <w:rsid w:val="00F54B3C"/>
    <w:rsid w:val="00F54CCB"/>
    <w:rsid w:val="00F5531B"/>
    <w:rsid w:val="00F55582"/>
    <w:rsid w:val="00F556FA"/>
    <w:rsid w:val="00F55D91"/>
    <w:rsid w:val="00F55E5E"/>
    <w:rsid w:val="00F569D5"/>
    <w:rsid w:val="00F56C7D"/>
    <w:rsid w:val="00F56DC1"/>
    <w:rsid w:val="00F57040"/>
    <w:rsid w:val="00F57B25"/>
    <w:rsid w:val="00F57DEE"/>
    <w:rsid w:val="00F605D8"/>
    <w:rsid w:val="00F609AE"/>
    <w:rsid w:val="00F60AD3"/>
    <w:rsid w:val="00F60C1B"/>
    <w:rsid w:val="00F611C0"/>
    <w:rsid w:val="00F6138B"/>
    <w:rsid w:val="00F61766"/>
    <w:rsid w:val="00F619BD"/>
    <w:rsid w:val="00F6216A"/>
    <w:rsid w:val="00F62AD7"/>
    <w:rsid w:val="00F62E49"/>
    <w:rsid w:val="00F633B8"/>
    <w:rsid w:val="00F633E8"/>
    <w:rsid w:val="00F6341C"/>
    <w:rsid w:val="00F6396E"/>
    <w:rsid w:val="00F63B28"/>
    <w:rsid w:val="00F63C60"/>
    <w:rsid w:val="00F651B3"/>
    <w:rsid w:val="00F653D3"/>
    <w:rsid w:val="00F65620"/>
    <w:rsid w:val="00F65D0F"/>
    <w:rsid w:val="00F65E6A"/>
    <w:rsid w:val="00F66093"/>
    <w:rsid w:val="00F665CA"/>
    <w:rsid w:val="00F668E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4FD"/>
    <w:rsid w:val="00F7268E"/>
    <w:rsid w:val="00F72B6D"/>
    <w:rsid w:val="00F72E51"/>
    <w:rsid w:val="00F73046"/>
    <w:rsid w:val="00F7314E"/>
    <w:rsid w:val="00F73157"/>
    <w:rsid w:val="00F735A5"/>
    <w:rsid w:val="00F7379A"/>
    <w:rsid w:val="00F73AE2"/>
    <w:rsid w:val="00F73F99"/>
    <w:rsid w:val="00F74AB4"/>
    <w:rsid w:val="00F75215"/>
    <w:rsid w:val="00F7584A"/>
    <w:rsid w:val="00F758C2"/>
    <w:rsid w:val="00F75B44"/>
    <w:rsid w:val="00F761DE"/>
    <w:rsid w:val="00F762E2"/>
    <w:rsid w:val="00F77093"/>
    <w:rsid w:val="00F773EE"/>
    <w:rsid w:val="00F7760E"/>
    <w:rsid w:val="00F7765D"/>
    <w:rsid w:val="00F77CD7"/>
    <w:rsid w:val="00F80143"/>
    <w:rsid w:val="00F808E0"/>
    <w:rsid w:val="00F809FC"/>
    <w:rsid w:val="00F80D1F"/>
    <w:rsid w:val="00F80DC8"/>
    <w:rsid w:val="00F80ECC"/>
    <w:rsid w:val="00F81249"/>
    <w:rsid w:val="00F813F8"/>
    <w:rsid w:val="00F81461"/>
    <w:rsid w:val="00F814F8"/>
    <w:rsid w:val="00F81DB1"/>
    <w:rsid w:val="00F81F2C"/>
    <w:rsid w:val="00F81FF0"/>
    <w:rsid w:val="00F825E7"/>
    <w:rsid w:val="00F82F48"/>
    <w:rsid w:val="00F83291"/>
    <w:rsid w:val="00F8332D"/>
    <w:rsid w:val="00F83465"/>
    <w:rsid w:val="00F83F36"/>
    <w:rsid w:val="00F842B2"/>
    <w:rsid w:val="00F84515"/>
    <w:rsid w:val="00F846A7"/>
    <w:rsid w:val="00F847D7"/>
    <w:rsid w:val="00F8484B"/>
    <w:rsid w:val="00F84A4A"/>
    <w:rsid w:val="00F84EC7"/>
    <w:rsid w:val="00F84FF2"/>
    <w:rsid w:val="00F8525A"/>
    <w:rsid w:val="00F852C8"/>
    <w:rsid w:val="00F85AD6"/>
    <w:rsid w:val="00F85E94"/>
    <w:rsid w:val="00F86784"/>
    <w:rsid w:val="00F86B25"/>
    <w:rsid w:val="00F86F9D"/>
    <w:rsid w:val="00F8762B"/>
    <w:rsid w:val="00F87ABD"/>
    <w:rsid w:val="00F90C57"/>
    <w:rsid w:val="00F910D6"/>
    <w:rsid w:val="00F91131"/>
    <w:rsid w:val="00F91324"/>
    <w:rsid w:val="00F91B2D"/>
    <w:rsid w:val="00F91C04"/>
    <w:rsid w:val="00F91E23"/>
    <w:rsid w:val="00F92168"/>
    <w:rsid w:val="00F9285D"/>
    <w:rsid w:val="00F928A0"/>
    <w:rsid w:val="00F92A6B"/>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6F88"/>
    <w:rsid w:val="00F970DF"/>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06F"/>
    <w:rsid w:val="00FA5717"/>
    <w:rsid w:val="00FA5B6D"/>
    <w:rsid w:val="00FA6B6C"/>
    <w:rsid w:val="00FA6EF4"/>
    <w:rsid w:val="00FA7746"/>
    <w:rsid w:val="00FA77EB"/>
    <w:rsid w:val="00FA7999"/>
    <w:rsid w:val="00FA7B52"/>
    <w:rsid w:val="00FA7E4D"/>
    <w:rsid w:val="00FB0246"/>
    <w:rsid w:val="00FB0E44"/>
    <w:rsid w:val="00FB190F"/>
    <w:rsid w:val="00FB19E5"/>
    <w:rsid w:val="00FB1BD3"/>
    <w:rsid w:val="00FB1CDC"/>
    <w:rsid w:val="00FB1F2D"/>
    <w:rsid w:val="00FB245F"/>
    <w:rsid w:val="00FB2984"/>
    <w:rsid w:val="00FB2A2E"/>
    <w:rsid w:val="00FB2C91"/>
    <w:rsid w:val="00FB3112"/>
    <w:rsid w:val="00FB378B"/>
    <w:rsid w:val="00FB380B"/>
    <w:rsid w:val="00FB407F"/>
    <w:rsid w:val="00FB4088"/>
    <w:rsid w:val="00FB40E9"/>
    <w:rsid w:val="00FB4346"/>
    <w:rsid w:val="00FB4546"/>
    <w:rsid w:val="00FB4917"/>
    <w:rsid w:val="00FB4ADA"/>
    <w:rsid w:val="00FB4CB9"/>
    <w:rsid w:val="00FB5269"/>
    <w:rsid w:val="00FB5D5E"/>
    <w:rsid w:val="00FB63C4"/>
    <w:rsid w:val="00FB65A1"/>
    <w:rsid w:val="00FB7695"/>
    <w:rsid w:val="00FB7FDA"/>
    <w:rsid w:val="00FC0102"/>
    <w:rsid w:val="00FC05D1"/>
    <w:rsid w:val="00FC0AA5"/>
    <w:rsid w:val="00FC0C73"/>
    <w:rsid w:val="00FC0C8C"/>
    <w:rsid w:val="00FC2457"/>
    <w:rsid w:val="00FC24A6"/>
    <w:rsid w:val="00FC26DA"/>
    <w:rsid w:val="00FC37E5"/>
    <w:rsid w:val="00FC3956"/>
    <w:rsid w:val="00FC3B9D"/>
    <w:rsid w:val="00FC3C5D"/>
    <w:rsid w:val="00FC427B"/>
    <w:rsid w:val="00FC42D8"/>
    <w:rsid w:val="00FC468C"/>
    <w:rsid w:val="00FC4C8C"/>
    <w:rsid w:val="00FC4D8B"/>
    <w:rsid w:val="00FC4D9F"/>
    <w:rsid w:val="00FC4DB4"/>
    <w:rsid w:val="00FC4F4D"/>
    <w:rsid w:val="00FC542B"/>
    <w:rsid w:val="00FC61E9"/>
    <w:rsid w:val="00FC6DA1"/>
    <w:rsid w:val="00FC6FDD"/>
    <w:rsid w:val="00FC774A"/>
    <w:rsid w:val="00FC79A0"/>
    <w:rsid w:val="00FC7C6A"/>
    <w:rsid w:val="00FD04D9"/>
    <w:rsid w:val="00FD071B"/>
    <w:rsid w:val="00FD0B6E"/>
    <w:rsid w:val="00FD0C2F"/>
    <w:rsid w:val="00FD0C95"/>
    <w:rsid w:val="00FD0F47"/>
    <w:rsid w:val="00FD1003"/>
    <w:rsid w:val="00FD17C2"/>
    <w:rsid w:val="00FD1921"/>
    <w:rsid w:val="00FD1BE3"/>
    <w:rsid w:val="00FD2117"/>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4A62"/>
    <w:rsid w:val="00FD51AD"/>
    <w:rsid w:val="00FD5277"/>
    <w:rsid w:val="00FD565C"/>
    <w:rsid w:val="00FD5BAD"/>
    <w:rsid w:val="00FD5C42"/>
    <w:rsid w:val="00FD6254"/>
    <w:rsid w:val="00FD678E"/>
    <w:rsid w:val="00FD6B41"/>
    <w:rsid w:val="00FD732D"/>
    <w:rsid w:val="00FD7525"/>
    <w:rsid w:val="00FD788B"/>
    <w:rsid w:val="00FD79C1"/>
    <w:rsid w:val="00FD7B21"/>
    <w:rsid w:val="00FE0299"/>
    <w:rsid w:val="00FE04A4"/>
    <w:rsid w:val="00FE0DC0"/>
    <w:rsid w:val="00FE0F55"/>
    <w:rsid w:val="00FE0FAB"/>
    <w:rsid w:val="00FE0FF7"/>
    <w:rsid w:val="00FE103D"/>
    <w:rsid w:val="00FE1F52"/>
    <w:rsid w:val="00FE22E9"/>
    <w:rsid w:val="00FE2571"/>
    <w:rsid w:val="00FE2711"/>
    <w:rsid w:val="00FE29D3"/>
    <w:rsid w:val="00FE2C51"/>
    <w:rsid w:val="00FE2D1A"/>
    <w:rsid w:val="00FE2EF0"/>
    <w:rsid w:val="00FE30B7"/>
    <w:rsid w:val="00FE38F4"/>
    <w:rsid w:val="00FE3A61"/>
    <w:rsid w:val="00FE3AA4"/>
    <w:rsid w:val="00FE3D3B"/>
    <w:rsid w:val="00FE3E41"/>
    <w:rsid w:val="00FE437B"/>
    <w:rsid w:val="00FE45D3"/>
    <w:rsid w:val="00FE45D7"/>
    <w:rsid w:val="00FE4AF4"/>
    <w:rsid w:val="00FE4C8B"/>
    <w:rsid w:val="00FE4F50"/>
    <w:rsid w:val="00FE500A"/>
    <w:rsid w:val="00FE555F"/>
    <w:rsid w:val="00FE5586"/>
    <w:rsid w:val="00FE593F"/>
    <w:rsid w:val="00FE5BFB"/>
    <w:rsid w:val="00FE5C22"/>
    <w:rsid w:val="00FE6647"/>
    <w:rsid w:val="00FE6836"/>
    <w:rsid w:val="00FE6CD4"/>
    <w:rsid w:val="00FE6E1A"/>
    <w:rsid w:val="00FE6F71"/>
    <w:rsid w:val="00FE6FBA"/>
    <w:rsid w:val="00FE7312"/>
    <w:rsid w:val="00FE7D17"/>
    <w:rsid w:val="00FF0268"/>
    <w:rsid w:val="00FF0AC2"/>
    <w:rsid w:val="00FF0BFF"/>
    <w:rsid w:val="00FF0DD6"/>
    <w:rsid w:val="00FF19A9"/>
    <w:rsid w:val="00FF21B7"/>
    <w:rsid w:val="00FF2615"/>
    <w:rsid w:val="00FF2985"/>
    <w:rsid w:val="00FF2AF1"/>
    <w:rsid w:val="00FF2BB1"/>
    <w:rsid w:val="00FF30A1"/>
    <w:rsid w:val="00FF41AE"/>
    <w:rsid w:val="00FF424C"/>
    <w:rsid w:val="00FF449E"/>
    <w:rsid w:val="00FF487F"/>
    <w:rsid w:val="00FF4EEB"/>
    <w:rsid w:val="00FF545B"/>
    <w:rsid w:val="00FF5EB6"/>
    <w:rsid w:val="00FF5F13"/>
    <w:rsid w:val="00FF62D0"/>
    <w:rsid w:val="00FF638F"/>
    <w:rsid w:val="00FF67F6"/>
    <w:rsid w:val="00FF6E94"/>
    <w:rsid w:val="00FF7226"/>
    <w:rsid w:val="00FF72BF"/>
    <w:rsid w:val="028B4790"/>
    <w:rsid w:val="02BB41EA"/>
    <w:rsid w:val="04AF36CD"/>
    <w:rsid w:val="05245B99"/>
    <w:rsid w:val="05ED6928"/>
    <w:rsid w:val="065627C1"/>
    <w:rsid w:val="078E05F8"/>
    <w:rsid w:val="080A56E7"/>
    <w:rsid w:val="08B03930"/>
    <w:rsid w:val="093F2F86"/>
    <w:rsid w:val="0A1A711A"/>
    <w:rsid w:val="0B4B4717"/>
    <w:rsid w:val="0C104FB4"/>
    <w:rsid w:val="0C723797"/>
    <w:rsid w:val="0CF504BA"/>
    <w:rsid w:val="0E493382"/>
    <w:rsid w:val="0E70415A"/>
    <w:rsid w:val="0EB848E8"/>
    <w:rsid w:val="0F425114"/>
    <w:rsid w:val="0F952D26"/>
    <w:rsid w:val="10327F14"/>
    <w:rsid w:val="11716EC8"/>
    <w:rsid w:val="13BB4243"/>
    <w:rsid w:val="13F80122"/>
    <w:rsid w:val="157B0731"/>
    <w:rsid w:val="163A4982"/>
    <w:rsid w:val="18373223"/>
    <w:rsid w:val="194A2E5F"/>
    <w:rsid w:val="1BAF4DBD"/>
    <w:rsid w:val="1D273210"/>
    <w:rsid w:val="1EE17F6B"/>
    <w:rsid w:val="1F086558"/>
    <w:rsid w:val="1F276CAD"/>
    <w:rsid w:val="21BD18F1"/>
    <w:rsid w:val="22AD2C20"/>
    <w:rsid w:val="24854438"/>
    <w:rsid w:val="25B23E72"/>
    <w:rsid w:val="25DB593B"/>
    <w:rsid w:val="26D81CD5"/>
    <w:rsid w:val="27B2631F"/>
    <w:rsid w:val="27D30B6B"/>
    <w:rsid w:val="295C300E"/>
    <w:rsid w:val="29ED27E8"/>
    <w:rsid w:val="2AE03C66"/>
    <w:rsid w:val="2B5B5919"/>
    <w:rsid w:val="2C024F81"/>
    <w:rsid w:val="2CD20644"/>
    <w:rsid w:val="2CF71CC5"/>
    <w:rsid w:val="2D8B1738"/>
    <w:rsid w:val="2DC176CB"/>
    <w:rsid w:val="2F045B6C"/>
    <w:rsid w:val="2F2143CA"/>
    <w:rsid w:val="2F2B21A4"/>
    <w:rsid w:val="2F745F8D"/>
    <w:rsid w:val="30860F97"/>
    <w:rsid w:val="319B7314"/>
    <w:rsid w:val="33EF3C3F"/>
    <w:rsid w:val="34033C33"/>
    <w:rsid w:val="34B5595F"/>
    <w:rsid w:val="36302B3E"/>
    <w:rsid w:val="369A0F6F"/>
    <w:rsid w:val="385037F4"/>
    <w:rsid w:val="385D7563"/>
    <w:rsid w:val="3AB42E30"/>
    <w:rsid w:val="3AC2541B"/>
    <w:rsid w:val="3BD85034"/>
    <w:rsid w:val="3C19060B"/>
    <w:rsid w:val="3D293BFD"/>
    <w:rsid w:val="3E2D3A57"/>
    <w:rsid w:val="3EBF5B27"/>
    <w:rsid w:val="40065F6E"/>
    <w:rsid w:val="40E94148"/>
    <w:rsid w:val="410B6999"/>
    <w:rsid w:val="419A494B"/>
    <w:rsid w:val="44297942"/>
    <w:rsid w:val="44577955"/>
    <w:rsid w:val="447E46F5"/>
    <w:rsid w:val="44C54A7C"/>
    <w:rsid w:val="45303318"/>
    <w:rsid w:val="45FF2BE7"/>
    <w:rsid w:val="461438CC"/>
    <w:rsid w:val="469F4B4D"/>
    <w:rsid w:val="475B1316"/>
    <w:rsid w:val="48316ECF"/>
    <w:rsid w:val="4991545C"/>
    <w:rsid w:val="49B57A44"/>
    <w:rsid w:val="4A8C6198"/>
    <w:rsid w:val="4AA466E1"/>
    <w:rsid w:val="4B3D72BD"/>
    <w:rsid w:val="4BD24232"/>
    <w:rsid w:val="4C283C71"/>
    <w:rsid w:val="4C754212"/>
    <w:rsid w:val="4D377D46"/>
    <w:rsid w:val="4D6B6BCF"/>
    <w:rsid w:val="4EA45AEB"/>
    <w:rsid w:val="4EEE3787"/>
    <w:rsid w:val="510A57C9"/>
    <w:rsid w:val="51573564"/>
    <w:rsid w:val="525409D0"/>
    <w:rsid w:val="53F84FD7"/>
    <w:rsid w:val="541052E8"/>
    <w:rsid w:val="55097FF2"/>
    <w:rsid w:val="55445EC5"/>
    <w:rsid w:val="58560654"/>
    <w:rsid w:val="591755AC"/>
    <w:rsid w:val="5C4702BA"/>
    <w:rsid w:val="5CF77C04"/>
    <w:rsid w:val="5D3C6D21"/>
    <w:rsid w:val="5E1D042F"/>
    <w:rsid w:val="5E4B6A2C"/>
    <w:rsid w:val="5F1226AB"/>
    <w:rsid w:val="5F5055E8"/>
    <w:rsid w:val="5FF342F4"/>
    <w:rsid w:val="600346E5"/>
    <w:rsid w:val="601A650C"/>
    <w:rsid w:val="606320ED"/>
    <w:rsid w:val="617C5A31"/>
    <w:rsid w:val="61E002B8"/>
    <w:rsid w:val="627F6E5D"/>
    <w:rsid w:val="62C85A18"/>
    <w:rsid w:val="639840C8"/>
    <w:rsid w:val="64B3745D"/>
    <w:rsid w:val="65202929"/>
    <w:rsid w:val="67A472DD"/>
    <w:rsid w:val="67C72B76"/>
    <w:rsid w:val="680C1616"/>
    <w:rsid w:val="683C1BF6"/>
    <w:rsid w:val="693657A6"/>
    <w:rsid w:val="6A5142E6"/>
    <w:rsid w:val="6A9D39D0"/>
    <w:rsid w:val="6B2A25BA"/>
    <w:rsid w:val="6B7A6394"/>
    <w:rsid w:val="6BAE4356"/>
    <w:rsid w:val="6BF22920"/>
    <w:rsid w:val="6C832FFA"/>
    <w:rsid w:val="6D156B4B"/>
    <w:rsid w:val="6EC85980"/>
    <w:rsid w:val="6EDD7011"/>
    <w:rsid w:val="6F6373BD"/>
    <w:rsid w:val="74525480"/>
    <w:rsid w:val="782F0E31"/>
    <w:rsid w:val="78504EF4"/>
    <w:rsid w:val="7A422E5A"/>
    <w:rsid w:val="7ABB542F"/>
    <w:rsid w:val="7B6E1F8A"/>
    <w:rsid w:val="7BC07908"/>
    <w:rsid w:val="7D0B672C"/>
    <w:rsid w:val="7F744F34"/>
    <w:rsid w:val="7F8815A6"/>
    <w:rsid w:val="7FA63325"/>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qFormat="1" w:unhideWhenUsed="0"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0" w:semiHidden="0" w:name="caption"/>
    <w:lsdException w:uiPriority="99" w:name="table of figures" w:locked="1"/>
    <w:lsdException w:uiPriority="99" w:name="envelope address" w:locked="1"/>
    <w:lsdException w:uiPriority="99" w:name="envelope return" w:locked="1"/>
    <w:lsdException w:qFormat="1" w:unhideWhenUsed="0" w:uiPriority="99" w:name="footnote reference"/>
    <w:lsdException w:qFormat="1" w:unhideWhenUsed="0" w:uiPriority="0"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qFormat="1" w:unhideWhenUsed="0" w:uiPriority="99" w:semiHidden="0" w:name="Body Text 3"/>
    <w:lsdException w:uiPriority="99" w:name="Body Text Indent 2" w:locked="1"/>
    <w:lsdException w:uiPriority="99" w:name="Body Text Indent 3" w:locked="1"/>
    <w:lsdException w:uiPriority="99" w:name="Block Text" w:locked="1"/>
    <w:lsdException w:qFormat="1" w:uiPriority="99" w:semiHidden="0"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qFormat="1" w:unhideWhenUsed="0" w:uiPriority="99" w:name="Document Map"/>
    <w:lsdException w:uiPriority="99" w:name="Plain Text" w:locked="1"/>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qFormat="1" w:unhideWhenUsed="0" w:uiPriority="99" w:semiHidden="0" w:name="Table Columns 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qFormat="1" w:unhideWhenUsed="0" w:uiPriority="99" w:semiHidden="0" w:name="Table List 3"/>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qFormat="1" w:unhideWhenUsed="0" w:uiPriority="39" w:semiHidden="0" w:name="Table Grid"/>
    <w:lsdException w:uiPriority="99" w:name="Table Theme" w:locked="1"/>
    <w:lsdException w:qFormat="1" w:unhideWhenUsed="0" w:uiPriority="67"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link w:val="59"/>
    <w:qFormat/>
    <w:uiPriority w:val="99"/>
    <w:pPr>
      <w:keepNext/>
      <w:keepLines/>
      <w:numPr>
        <w:ilvl w:val="0"/>
        <w:numId w:val="1"/>
      </w:numPr>
      <w:pBdr>
        <w:top w:val="single" w:color="auto" w:sz="12" w:space="3"/>
      </w:pBdr>
      <w:spacing w:before="240"/>
      <w:outlineLvl w:val="0"/>
    </w:pPr>
    <w:rPr>
      <w:rFonts w:ascii="Cambria" w:hAnsi="Cambria"/>
      <w:b/>
      <w:bCs/>
      <w:kern w:val="32"/>
      <w:sz w:val="32"/>
      <w:szCs w:val="32"/>
    </w:rPr>
  </w:style>
  <w:style w:type="paragraph" w:styleId="3">
    <w:name w:val="heading 2"/>
    <w:basedOn w:val="2"/>
    <w:next w:val="1"/>
    <w:link w:val="60"/>
    <w:qFormat/>
    <w:uiPriority w:val="0"/>
    <w:pPr>
      <w:numPr>
        <w:ilvl w:val="1"/>
      </w:numPr>
      <w:pBdr>
        <w:top w:val="none" w:color="auto" w:sz="0" w:space="0"/>
      </w:pBdr>
      <w:spacing w:before="180"/>
      <w:outlineLvl w:val="1"/>
    </w:pPr>
    <w:rPr>
      <w:iCs/>
      <w:kern w:val="0"/>
      <w:sz w:val="28"/>
      <w:szCs w:val="28"/>
    </w:rPr>
  </w:style>
  <w:style w:type="paragraph" w:styleId="4">
    <w:name w:val="heading 3"/>
    <w:basedOn w:val="3"/>
    <w:next w:val="1"/>
    <w:link w:val="61"/>
    <w:qFormat/>
    <w:uiPriority w:val="99"/>
    <w:pPr>
      <w:numPr>
        <w:ilvl w:val="2"/>
      </w:numPr>
      <w:spacing w:before="120"/>
      <w:outlineLvl w:val="2"/>
    </w:pPr>
    <w:rPr>
      <w:i/>
      <w:iCs w:val="0"/>
      <w:sz w:val="26"/>
      <w:szCs w:val="26"/>
    </w:rPr>
  </w:style>
  <w:style w:type="paragraph" w:styleId="5">
    <w:name w:val="heading 4"/>
    <w:basedOn w:val="4"/>
    <w:next w:val="1"/>
    <w:link w:val="62"/>
    <w:qFormat/>
    <w:uiPriority w:val="99"/>
    <w:pPr>
      <w:numPr>
        <w:ilvl w:val="3"/>
      </w:numPr>
      <w:outlineLvl w:val="3"/>
    </w:pPr>
    <w:rPr>
      <w:rFonts w:ascii="Calibri" w:hAnsi="Calibri"/>
      <w:sz w:val="28"/>
      <w:szCs w:val="28"/>
    </w:rPr>
  </w:style>
  <w:style w:type="paragraph" w:styleId="6">
    <w:name w:val="heading 5"/>
    <w:basedOn w:val="5"/>
    <w:next w:val="1"/>
    <w:link w:val="63"/>
    <w:qFormat/>
    <w:uiPriority w:val="99"/>
    <w:pPr>
      <w:numPr>
        <w:ilvl w:val="4"/>
      </w:numPr>
      <w:outlineLvl w:val="4"/>
    </w:pPr>
    <w:rPr>
      <w:i w:val="0"/>
      <w:iCs/>
      <w:sz w:val="26"/>
      <w:szCs w:val="26"/>
    </w:rPr>
  </w:style>
  <w:style w:type="paragraph" w:styleId="7">
    <w:name w:val="heading 6"/>
    <w:basedOn w:val="8"/>
    <w:next w:val="1"/>
    <w:link w:val="64"/>
    <w:qFormat/>
    <w:uiPriority w:val="99"/>
    <w:pPr>
      <w:numPr>
        <w:ilvl w:val="5"/>
        <w:numId w:val="1"/>
      </w:numPr>
      <w:outlineLvl w:val="5"/>
    </w:pPr>
    <w:rPr>
      <w:i/>
      <w:iCs w:val="0"/>
      <w:szCs w:val="20"/>
    </w:rPr>
  </w:style>
  <w:style w:type="paragraph" w:styleId="9">
    <w:name w:val="heading 7"/>
    <w:basedOn w:val="8"/>
    <w:next w:val="1"/>
    <w:link w:val="65"/>
    <w:qFormat/>
    <w:uiPriority w:val="99"/>
    <w:pPr>
      <w:numPr>
        <w:ilvl w:val="6"/>
        <w:numId w:val="1"/>
      </w:numPr>
      <w:outlineLvl w:val="6"/>
    </w:pPr>
    <w:rPr>
      <w:b w:val="0"/>
      <w:bCs w:val="0"/>
      <w:i/>
      <w:iCs w:val="0"/>
      <w:sz w:val="24"/>
      <w:szCs w:val="24"/>
    </w:rPr>
  </w:style>
  <w:style w:type="paragraph" w:styleId="10">
    <w:name w:val="heading 8"/>
    <w:basedOn w:val="2"/>
    <w:next w:val="1"/>
    <w:link w:val="66"/>
    <w:qFormat/>
    <w:uiPriority w:val="99"/>
    <w:pPr>
      <w:numPr>
        <w:ilvl w:val="7"/>
      </w:numPr>
      <w:outlineLvl w:val="7"/>
    </w:pPr>
    <w:rPr>
      <w:rFonts w:ascii="Calibri" w:hAnsi="Calibri"/>
      <w:b w:val="0"/>
      <w:bCs w:val="0"/>
      <w:i/>
      <w:iCs/>
      <w:kern w:val="0"/>
      <w:sz w:val="24"/>
      <w:szCs w:val="24"/>
    </w:rPr>
  </w:style>
  <w:style w:type="paragraph" w:styleId="11">
    <w:name w:val="heading 9"/>
    <w:basedOn w:val="10"/>
    <w:next w:val="1"/>
    <w:link w:val="67"/>
    <w:qFormat/>
    <w:uiPriority w:val="99"/>
    <w:pPr>
      <w:numPr>
        <w:ilvl w:val="8"/>
      </w:numPr>
      <w:outlineLvl w:val="8"/>
    </w:pPr>
    <w:rPr>
      <w:rFonts w:ascii="Cambria" w:hAnsi="Cambria"/>
      <w:i w:val="0"/>
      <w:iCs w:val="0"/>
      <w:sz w:val="20"/>
      <w:szCs w:val="20"/>
    </w:rPr>
  </w:style>
  <w:style w:type="character" w:default="1" w:styleId="53">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numPr>
        <w:numId w:val="0"/>
      </w:numPr>
      <w:ind w:left="1985" w:hanging="1985"/>
      <w:outlineLvl w:val="9"/>
    </w:pPr>
    <w:rPr>
      <w:sz w:val="20"/>
    </w:rPr>
  </w:style>
  <w:style w:type="paragraph" w:styleId="12">
    <w:name w:val="List 3"/>
    <w:basedOn w:val="13"/>
    <w:qFormat/>
    <w:uiPriority w:val="99"/>
    <w:pPr>
      <w:ind w:left="1135"/>
    </w:pPr>
  </w:style>
  <w:style w:type="paragraph" w:styleId="13">
    <w:name w:val="List 2"/>
    <w:basedOn w:val="14"/>
    <w:qFormat/>
    <w:uiPriority w:val="99"/>
    <w:pPr>
      <w:ind w:left="851"/>
    </w:pPr>
  </w:style>
  <w:style w:type="paragraph" w:styleId="14">
    <w:name w:val="List"/>
    <w:basedOn w:val="1"/>
    <w:qFormat/>
    <w:uiPriority w:val="99"/>
    <w:pPr>
      <w:ind w:left="568" w:hanging="284"/>
    </w:pPr>
  </w:style>
  <w:style w:type="paragraph" w:styleId="15">
    <w:name w:val="toc 7"/>
    <w:basedOn w:val="16"/>
    <w:next w:val="1"/>
    <w:semiHidden/>
    <w:qFormat/>
    <w:uiPriority w:val="99"/>
    <w:pPr>
      <w:tabs>
        <w:tab w:val="right" w:leader="dot" w:pos="9639"/>
      </w:tabs>
      <w:ind w:left="2268" w:hanging="2268"/>
    </w:pPr>
  </w:style>
  <w:style w:type="paragraph" w:styleId="16">
    <w:name w:val="toc 6"/>
    <w:basedOn w:val="17"/>
    <w:next w:val="1"/>
    <w:semiHidden/>
    <w:qFormat/>
    <w:uiPriority w:val="99"/>
    <w:pPr>
      <w:tabs>
        <w:tab w:val="right" w:leader="dot" w:pos="9639"/>
      </w:tabs>
      <w:ind w:left="1985" w:hanging="1985"/>
    </w:pPr>
  </w:style>
  <w:style w:type="paragraph" w:styleId="17">
    <w:name w:val="toc 5"/>
    <w:basedOn w:val="18"/>
    <w:next w:val="1"/>
    <w:semiHidden/>
    <w:qFormat/>
    <w:uiPriority w:val="99"/>
    <w:pPr>
      <w:tabs>
        <w:tab w:val="right" w:leader="dot" w:pos="9639"/>
      </w:tabs>
      <w:ind w:left="1701" w:hanging="1701"/>
    </w:pPr>
  </w:style>
  <w:style w:type="paragraph" w:styleId="18">
    <w:name w:val="toc 4"/>
    <w:basedOn w:val="19"/>
    <w:next w:val="1"/>
    <w:semiHidden/>
    <w:qFormat/>
    <w:uiPriority w:val="99"/>
    <w:pPr>
      <w:tabs>
        <w:tab w:val="right" w:leader="dot" w:pos="9639"/>
      </w:tabs>
      <w:ind w:left="1418" w:hanging="1418"/>
    </w:pPr>
  </w:style>
  <w:style w:type="paragraph" w:styleId="19">
    <w:name w:val="toc 3"/>
    <w:basedOn w:val="20"/>
    <w:next w:val="1"/>
    <w:semiHidden/>
    <w:qFormat/>
    <w:uiPriority w:val="99"/>
    <w:pPr>
      <w:tabs>
        <w:tab w:val="right" w:leader="dot" w:pos="9639"/>
      </w:tabs>
      <w:ind w:left="1134" w:hanging="1134"/>
    </w:pPr>
  </w:style>
  <w:style w:type="paragraph" w:styleId="20">
    <w:name w:val="toc 2"/>
    <w:basedOn w:val="21"/>
    <w:next w:val="1"/>
    <w:semiHidden/>
    <w:qFormat/>
    <w:uiPriority w:val="99"/>
    <w:pPr>
      <w:keepNext w:val="0"/>
      <w:tabs>
        <w:tab w:val="right" w:leader="dot" w:pos="9639"/>
      </w:tabs>
      <w:spacing w:before="0"/>
      <w:ind w:left="851" w:hanging="851"/>
    </w:pPr>
    <w:rPr>
      <w:sz w:val="20"/>
    </w:rPr>
  </w:style>
  <w:style w:type="paragraph" w:styleId="21">
    <w:name w:val="toc 1"/>
    <w:basedOn w:val="1"/>
    <w:next w:val="1"/>
    <w:semiHidden/>
    <w:qFormat/>
    <w:uiPriority w:val="99"/>
    <w:pPr>
      <w:keepNext/>
      <w:keepLines/>
      <w:widowControl w:val="0"/>
      <w:tabs>
        <w:tab w:val="right" w:leader="dot" w:pos="9639"/>
      </w:tabs>
      <w:spacing w:after="0"/>
      <w:ind w:left="567" w:right="425" w:hanging="567"/>
    </w:pPr>
    <w:rPr>
      <w:sz w:val="22"/>
      <w:lang w:val="en-US"/>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qFormat/>
    <w:uiPriority w:val="99"/>
    <w:pPr>
      <w:ind w:left="1135"/>
    </w:pPr>
  </w:style>
  <w:style w:type="paragraph" w:styleId="26">
    <w:name w:val="List Bullet 2"/>
    <w:basedOn w:val="27"/>
    <w:qFormat/>
    <w:uiPriority w:val="99"/>
    <w:pPr>
      <w:ind w:left="851"/>
    </w:pPr>
  </w:style>
  <w:style w:type="paragraph" w:styleId="27">
    <w:name w:val="List Bullet"/>
    <w:basedOn w:val="14"/>
    <w:qFormat/>
    <w:uiPriority w:val="99"/>
  </w:style>
  <w:style w:type="paragraph" w:styleId="28">
    <w:name w:val="caption"/>
    <w:basedOn w:val="1"/>
    <w:next w:val="1"/>
    <w:link w:val="107"/>
    <w:qFormat/>
    <w:uiPriority w:val="0"/>
    <w:pPr>
      <w:spacing w:after="120"/>
    </w:pPr>
    <w:rPr>
      <w:rFonts w:ascii="CG Times (WN)" w:hAnsi="CG Times (WN)"/>
      <w:b/>
      <w:lang w:eastAsia="en-US"/>
    </w:rPr>
  </w:style>
  <w:style w:type="paragraph" w:styleId="29">
    <w:name w:val="Document Map"/>
    <w:basedOn w:val="1"/>
    <w:link w:val="121"/>
    <w:semiHidden/>
    <w:qFormat/>
    <w:uiPriority w:val="99"/>
    <w:pPr>
      <w:shd w:val="clear" w:color="auto" w:fill="000080"/>
    </w:pPr>
    <w:rPr>
      <w:sz w:val="2"/>
    </w:rPr>
  </w:style>
  <w:style w:type="paragraph" w:styleId="30">
    <w:name w:val="annotation text"/>
    <w:basedOn w:val="1"/>
    <w:link w:val="110"/>
    <w:qFormat/>
    <w:uiPriority w:val="0"/>
  </w:style>
  <w:style w:type="paragraph" w:styleId="31">
    <w:name w:val="Body Text 3"/>
    <w:basedOn w:val="1"/>
    <w:link w:val="106"/>
    <w:qFormat/>
    <w:uiPriority w:val="99"/>
    <w:pPr>
      <w:jc w:val="both"/>
    </w:pPr>
    <w:rPr>
      <w:sz w:val="16"/>
      <w:szCs w:val="16"/>
    </w:rPr>
  </w:style>
  <w:style w:type="paragraph" w:styleId="32">
    <w:name w:val="Body Text"/>
    <w:basedOn w:val="1"/>
    <w:link w:val="105"/>
    <w:qFormat/>
    <w:uiPriority w:val="99"/>
    <w:rPr>
      <w:rFonts w:ascii="CG Times (WN)" w:hAnsi="CG Times (WN)"/>
      <w:lang w:eastAsia="en-US"/>
    </w:rPr>
  </w:style>
  <w:style w:type="paragraph" w:styleId="33">
    <w:name w:val="List Number 3"/>
    <w:basedOn w:val="1"/>
    <w:semiHidden/>
    <w:unhideWhenUsed/>
    <w:qFormat/>
    <w:locked/>
    <w:uiPriority w:val="99"/>
    <w:pPr>
      <w:numPr>
        <w:ilvl w:val="0"/>
        <w:numId w:val="2"/>
      </w:numPr>
      <w:contextualSpacing/>
    </w:pPr>
  </w:style>
  <w:style w:type="paragraph" w:styleId="34">
    <w:name w:val="List Bullet 5"/>
    <w:basedOn w:val="24"/>
    <w:qFormat/>
    <w:uiPriority w:val="99"/>
    <w:pPr>
      <w:ind w:left="1702"/>
    </w:pPr>
  </w:style>
  <w:style w:type="paragraph" w:styleId="35">
    <w:name w:val="toc 8"/>
    <w:basedOn w:val="21"/>
    <w:next w:val="1"/>
    <w:semiHidden/>
    <w:qFormat/>
    <w:uiPriority w:val="99"/>
    <w:pPr>
      <w:spacing w:before="180"/>
      <w:ind w:left="2693" w:hanging="2693"/>
    </w:pPr>
    <w:rPr>
      <w:b/>
    </w:rPr>
  </w:style>
  <w:style w:type="paragraph" w:styleId="36">
    <w:name w:val="Balloon Text"/>
    <w:basedOn w:val="1"/>
    <w:link w:val="112"/>
    <w:semiHidden/>
    <w:qFormat/>
    <w:uiPriority w:val="99"/>
    <w:rPr>
      <w:sz w:val="16"/>
    </w:rPr>
  </w:style>
  <w:style w:type="paragraph" w:styleId="37">
    <w:name w:val="footer"/>
    <w:basedOn w:val="38"/>
    <w:link w:val="102"/>
    <w:qFormat/>
    <w:uiPriority w:val="99"/>
    <w:pPr>
      <w:jc w:val="center"/>
    </w:pPr>
    <w:rPr>
      <w:rFonts w:ascii="Times New Roman" w:hAnsi="Times New Roman"/>
      <w:b w:val="0"/>
      <w:sz w:val="20"/>
      <w:lang w:val="en-GB"/>
    </w:rPr>
  </w:style>
  <w:style w:type="paragraph" w:styleId="38">
    <w:name w:val="header"/>
    <w:basedOn w:val="1"/>
    <w:link w:val="124"/>
    <w:qFormat/>
    <w:uiPriority w:val="99"/>
    <w:pPr>
      <w:widowControl w:val="0"/>
      <w:spacing w:after="0"/>
    </w:pPr>
    <w:rPr>
      <w:rFonts w:ascii="Arial" w:hAnsi="Arial"/>
      <w:b/>
      <w:sz w:val="18"/>
      <w:lang w:val="en-US"/>
    </w:rPr>
  </w:style>
  <w:style w:type="paragraph" w:styleId="39">
    <w:name w:val="Subtitle"/>
    <w:basedOn w:val="1"/>
    <w:next w:val="1"/>
    <w:link w:val="147"/>
    <w:qFormat/>
    <w:locked/>
    <w:uiPriority w:val="11"/>
    <w:pPr>
      <w:spacing w:before="240" w:after="60" w:line="312" w:lineRule="auto"/>
      <w:jc w:val="center"/>
      <w:outlineLvl w:val="1"/>
    </w:pPr>
    <w:rPr>
      <w:rFonts w:asciiTheme="majorHAnsi" w:hAnsiTheme="majorHAnsi" w:cstheme="majorBidi"/>
      <w:b/>
      <w:bCs/>
      <w:kern w:val="28"/>
      <w:sz w:val="32"/>
      <w:szCs w:val="32"/>
    </w:rPr>
  </w:style>
  <w:style w:type="paragraph" w:styleId="40">
    <w:name w:val="footnote text"/>
    <w:basedOn w:val="1"/>
    <w:link w:val="72"/>
    <w:semiHidden/>
    <w:qFormat/>
    <w:uiPriority w:val="99"/>
    <w:pPr>
      <w:keepLines/>
      <w:spacing w:after="0"/>
      <w:ind w:left="454" w:hanging="454"/>
    </w:pPr>
    <w:rPr>
      <w:rFonts w:ascii="CG Times (WN)" w:hAnsi="CG Times (WN)"/>
      <w:sz w:val="16"/>
    </w:rPr>
  </w:style>
  <w:style w:type="paragraph" w:styleId="41">
    <w:name w:val="List 5"/>
    <w:basedOn w:val="42"/>
    <w:qFormat/>
    <w:uiPriority w:val="99"/>
    <w:pPr>
      <w:ind w:left="1702"/>
    </w:pPr>
  </w:style>
  <w:style w:type="paragraph" w:styleId="42">
    <w:name w:val="List 4"/>
    <w:basedOn w:val="12"/>
    <w:qFormat/>
    <w:uiPriority w:val="99"/>
    <w:pPr>
      <w:ind w:left="1418"/>
    </w:pPr>
  </w:style>
  <w:style w:type="paragraph" w:styleId="43">
    <w:name w:val="toc 9"/>
    <w:basedOn w:val="35"/>
    <w:next w:val="1"/>
    <w:semiHidden/>
    <w:qFormat/>
    <w:uiPriority w:val="99"/>
    <w:pPr>
      <w:ind w:left="1418" w:hanging="1418"/>
    </w:pPr>
  </w:style>
  <w:style w:type="paragraph" w:styleId="44">
    <w:name w:val="Normal (Web)"/>
    <w:basedOn w:val="1"/>
    <w:qFormat/>
    <w:uiPriority w:val="99"/>
    <w:pPr>
      <w:spacing w:before="100" w:beforeAutospacing="1" w:after="100" w:afterAutospacing="1"/>
    </w:pPr>
    <w:rPr>
      <w:sz w:val="24"/>
      <w:szCs w:val="24"/>
      <w:lang w:val="en-US" w:eastAsia="zh-CN"/>
    </w:rPr>
  </w:style>
  <w:style w:type="paragraph" w:styleId="45">
    <w:name w:val="index 1"/>
    <w:basedOn w:val="1"/>
    <w:next w:val="1"/>
    <w:semiHidden/>
    <w:qFormat/>
    <w:uiPriority w:val="99"/>
    <w:pPr>
      <w:keepLines/>
      <w:spacing w:after="0"/>
    </w:pPr>
  </w:style>
  <w:style w:type="paragraph" w:styleId="46">
    <w:name w:val="index 2"/>
    <w:basedOn w:val="45"/>
    <w:next w:val="1"/>
    <w:semiHidden/>
    <w:qFormat/>
    <w:uiPriority w:val="99"/>
    <w:pPr>
      <w:ind w:left="284"/>
    </w:pPr>
  </w:style>
  <w:style w:type="paragraph" w:styleId="47">
    <w:name w:val="Title"/>
    <w:basedOn w:val="1"/>
    <w:next w:val="1"/>
    <w:link w:val="146"/>
    <w:qFormat/>
    <w:locked/>
    <w:uiPriority w:val="10"/>
    <w:pPr>
      <w:spacing w:before="240" w:after="60"/>
      <w:jc w:val="center"/>
      <w:outlineLvl w:val="0"/>
    </w:pPr>
    <w:rPr>
      <w:rFonts w:asciiTheme="majorHAnsi" w:hAnsiTheme="majorHAnsi" w:cstheme="majorBidi"/>
      <w:b/>
      <w:bCs/>
      <w:sz w:val="32"/>
      <w:szCs w:val="32"/>
    </w:rPr>
  </w:style>
  <w:style w:type="paragraph" w:styleId="48">
    <w:name w:val="annotation subject"/>
    <w:basedOn w:val="30"/>
    <w:next w:val="30"/>
    <w:link w:val="111"/>
    <w:semiHidden/>
    <w:qFormat/>
    <w:uiPriority w:val="99"/>
    <w:rPr>
      <w:b/>
      <w:bCs/>
    </w:rPr>
  </w:style>
  <w:style w:type="table" w:styleId="50">
    <w:name w:val="Table Grid"/>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Table List 3"/>
    <w:basedOn w:val="49"/>
    <w:qFormat/>
    <w:uiPriority w:val="99"/>
    <w:pPr>
      <w:overflowPunct w:val="0"/>
      <w:autoSpaceDE w:val="0"/>
      <w:autoSpaceDN w:val="0"/>
      <w:adjustRightInd w:val="0"/>
      <w:textAlignment w:val="baseline"/>
    </w:pPr>
    <w:tblPr>
      <w:tblBorders>
        <w:top w:val="single" w:color="000000" w:sz="12" w:space="0"/>
        <w:bottom w:val="single" w:color="000000" w:sz="12" w:space="0"/>
        <w:insideH w:val="single" w:color="000000" w:sz="6" w:space="0"/>
      </w:tblBorders>
    </w:tblPr>
    <w:tblStylePr w:type="firstRow">
      <w:rPr>
        <w:rFonts w:cs="Times New Roman"/>
        <w:b/>
        <w:bCs/>
        <w:color w:val="000080"/>
      </w:rPr>
      <w:tblPr/>
      <w:tcPr>
        <w:tcBorders>
          <w:bottom w:val="single" w:color="000000" w:sz="12" w:space="0"/>
          <w:tl2br w:val="nil"/>
          <w:tr2bl w:val="nil"/>
        </w:tcBorders>
      </w:tcPr>
    </w:tblStylePr>
    <w:tblStylePr w:type="lastRow">
      <w:rPr>
        <w:rFonts w:cs="Times New Roman"/>
      </w:rPr>
      <w:tblPr/>
      <w:tcPr>
        <w:tcBorders>
          <w:top w:val="single" w:color="000000" w:sz="12" w:space="0"/>
          <w:tl2br w:val="nil"/>
          <w:tr2bl w:val="nil"/>
        </w:tcBorders>
      </w:tcPr>
    </w:tblStylePr>
    <w:tblStylePr w:type="swCell">
      <w:rPr>
        <w:rFonts w:cs="Times New Roman"/>
        <w:i/>
        <w:iCs/>
        <w:color w:val="000080"/>
      </w:rPr>
      <w:tblPr/>
      <w:tcPr>
        <w:tcBorders>
          <w:tl2br w:val="nil"/>
          <w:tr2bl w:val="nil"/>
        </w:tcBorders>
      </w:tcPr>
    </w:tblStylePr>
  </w:style>
  <w:style w:type="table" w:styleId="52">
    <w:name w:val="Table Columns 1"/>
    <w:basedOn w:val="49"/>
    <w:qFormat/>
    <w:uiPriority w:val="99"/>
    <w:pPr>
      <w:overflowPunct w:val="0"/>
      <w:autoSpaceDE w:val="0"/>
      <w:autoSpaceDN w:val="0"/>
      <w:adjustRightInd w:val="0"/>
      <w:textAlignment w:val="baseline"/>
    </w:pPr>
    <w:rPr>
      <w:b/>
      <w:bCs/>
    </w:rPr>
    <w:tblPr>
      <w:tblBorders>
        <w:top w:val="single" w:color="000000" w:sz="12" w:space="0"/>
        <w:left w:val="single" w:color="000000" w:sz="12" w:space="0"/>
        <w:bottom w:val="single" w:color="000000" w:sz="12" w:space="0"/>
        <w:right w:val="single" w:color="000000" w:sz="12" w:space="0"/>
      </w:tblBorders>
    </w:tblPr>
    <w:tblStylePr w:type="firstRow">
      <w:rPr>
        <w:rFonts w:cs="Times New Roman"/>
        <w:b w:val="0"/>
        <w:bCs w:val="0"/>
      </w:rPr>
      <w:tblPr/>
      <w:tcPr>
        <w:tcBorders>
          <w:bottom w:val="double" w:color="000000" w:sz="6" w:space="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54">
    <w:name w:val="Strong"/>
    <w:basedOn w:val="53"/>
    <w:qFormat/>
    <w:locked/>
    <w:uiPriority w:val="22"/>
    <w:rPr>
      <w:b/>
      <w:bCs/>
    </w:rPr>
  </w:style>
  <w:style w:type="character" w:styleId="55">
    <w:name w:val="page number"/>
    <w:qFormat/>
    <w:uiPriority w:val="99"/>
    <w:rPr>
      <w:rFonts w:cs="Times New Roman"/>
    </w:rPr>
  </w:style>
  <w:style w:type="character" w:styleId="56">
    <w:name w:val="Hyperlink"/>
    <w:unhideWhenUsed/>
    <w:qFormat/>
    <w:locked/>
    <w:uiPriority w:val="99"/>
    <w:rPr>
      <w:color w:val="0000FF"/>
      <w:u w:val="single"/>
    </w:rPr>
  </w:style>
  <w:style w:type="character" w:styleId="57">
    <w:name w:val="annotation reference"/>
    <w:qFormat/>
    <w:uiPriority w:val="0"/>
    <w:rPr>
      <w:rFonts w:cs="Times New Roman"/>
      <w:sz w:val="16"/>
      <w:szCs w:val="16"/>
    </w:rPr>
  </w:style>
  <w:style w:type="character" w:styleId="58">
    <w:name w:val="footnote reference"/>
    <w:semiHidden/>
    <w:qFormat/>
    <w:uiPriority w:val="99"/>
    <w:rPr>
      <w:rFonts w:cs="Times New Roman"/>
      <w:b/>
      <w:position w:val="6"/>
      <w:sz w:val="16"/>
    </w:rPr>
  </w:style>
  <w:style w:type="character" w:customStyle="1" w:styleId="59">
    <w:name w:val="标题 1 字符"/>
    <w:link w:val="2"/>
    <w:qFormat/>
    <w:locked/>
    <w:uiPriority w:val="99"/>
    <w:rPr>
      <w:rFonts w:ascii="Cambria" w:hAnsi="Cambria"/>
      <w:b/>
      <w:bCs/>
      <w:kern w:val="32"/>
      <w:sz w:val="32"/>
      <w:szCs w:val="32"/>
      <w:lang w:val="en-GB" w:eastAsia="ja-JP"/>
    </w:rPr>
  </w:style>
  <w:style w:type="character" w:customStyle="1" w:styleId="60">
    <w:name w:val="标题 2 字符"/>
    <w:link w:val="3"/>
    <w:qFormat/>
    <w:locked/>
    <w:uiPriority w:val="0"/>
    <w:rPr>
      <w:rFonts w:ascii="Cambria" w:hAnsi="Cambria"/>
      <w:b/>
      <w:bCs/>
      <w:iCs/>
      <w:sz w:val="28"/>
      <w:szCs w:val="28"/>
      <w:lang w:val="en-GB" w:eastAsia="ja-JP"/>
    </w:rPr>
  </w:style>
  <w:style w:type="character" w:customStyle="1" w:styleId="61">
    <w:name w:val="标题 3 字符"/>
    <w:link w:val="4"/>
    <w:qFormat/>
    <w:locked/>
    <w:uiPriority w:val="99"/>
    <w:rPr>
      <w:rFonts w:ascii="Cambria" w:hAnsi="Cambria"/>
      <w:b/>
      <w:bCs/>
      <w:i/>
      <w:sz w:val="26"/>
      <w:szCs w:val="26"/>
      <w:lang w:val="en-GB" w:eastAsia="ja-JP"/>
    </w:rPr>
  </w:style>
  <w:style w:type="character" w:customStyle="1" w:styleId="62">
    <w:name w:val="标题 4 字符"/>
    <w:link w:val="5"/>
    <w:qFormat/>
    <w:locked/>
    <w:uiPriority w:val="99"/>
    <w:rPr>
      <w:rFonts w:ascii="Calibri" w:hAnsi="Calibri"/>
      <w:b/>
      <w:bCs/>
      <w:i/>
      <w:sz w:val="28"/>
      <w:szCs w:val="28"/>
      <w:lang w:val="en-GB" w:eastAsia="ja-JP"/>
    </w:rPr>
  </w:style>
  <w:style w:type="character" w:customStyle="1" w:styleId="63">
    <w:name w:val="标题 5 字符"/>
    <w:link w:val="6"/>
    <w:qFormat/>
    <w:locked/>
    <w:uiPriority w:val="99"/>
    <w:rPr>
      <w:rFonts w:ascii="Calibri" w:hAnsi="Calibri"/>
      <w:b/>
      <w:bCs/>
      <w:iCs/>
      <w:sz w:val="26"/>
      <w:szCs w:val="26"/>
      <w:lang w:val="en-GB" w:eastAsia="ja-JP"/>
    </w:rPr>
  </w:style>
  <w:style w:type="character" w:customStyle="1" w:styleId="64">
    <w:name w:val="标题 6 字符"/>
    <w:link w:val="7"/>
    <w:qFormat/>
    <w:locked/>
    <w:uiPriority w:val="99"/>
    <w:rPr>
      <w:rFonts w:ascii="Calibri" w:hAnsi="Calibri"/>
      <w:b/>
      <w:bCs/>
      <w:i/>
      <w:lang w:val="en-GB" w:eastAsia="ja-JP"/>
    </w:rPr>
  </w:style>
  <w:style w:type="character" w:customStyle="1" w:styleId="65">
    <w:name w:val="标题 7 字符"/>
    <w:link w:val="9"/>
    <w:qFormat/>
    <w:locked/>
    <w:uiPriority w:val="99"/>
    <w:rPr>
      <w:rFonts w:ascii="Calibri" w:hAnsi="Calibri"/>
      <w:i/>
      <w:sz w:val="24"/>
      <w:szCs w:val="24"/>
      <w:lang w:val="en-GB" w:eastAsia="ja-JP"/>
    </w:rPr>
  </w:style>
  <w:style w:type="character" w:customStyle="1" w:styleId="66">
    <w:name w:val="标题 8 字符"/>
    <w:link w:val="10"/>
    <w:qFormat/>
    <w:locked/>
    <w:uiPriority w:val="99"/>
    <w:rPr>
      <w:rFonts w:ascii="Calibri" w:hAnsi="Calibri"/>
      <w:i/>
      <w:iCs/>
      <w:sz w:val="24"/>
      <w:szCs w:val="24"/>
      <w:lang w:val="en-GB" w:eastAsia="ja-JP"/>
    </w:rPr>
  </w:style>
  <w:style w:type="character" w:customStyle="1" w:styleId="67">
    <w:name w:val="标题 9 字符"/>
    <w:link w:val="11"/>
    <w:qFormat/>
    <w:locked/>
    <w:uiPriority w:val="99"/>
    <w:rPr>
      <w:rFonts w:ascii="Cambria" w:hAnsi="Cambria"/>
      <w:lang w:val="en-GB" w:eastAsia="ja-JP"/>
    </w:rPr>
  </w:style>
  <w:style w:type="paragraph" w:customStyle="1" w:styleId="68">
    <w:name w:val="ZT"/>
    <w:qFormat/>
    <w:uiPriority w:val="0"/>
    <w:pPr>
      <w:framePr w:wrap="notBeside" w:vAnchor="margin"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eastAsia="宋体" w:cs="Times New Roman"/>
      <w:b/>
      <w:sz w:val="34"/>
      <w:lang w:val="en-GB" w:eastAsia="ja-JP" w:bidi="ar-SA"/>
    </w:rPr>
  </w:style>
  <w:style w:type="paragraph" w:customStyle="1" w:styleId="69">
    <w:name w:val="ZH"/>
    <w:qFormat/>
    <w:uiPriority w:val="99"/>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eastAsia="宋体" w:cs="Times New Roman"/>
      <w:lang w:val="en-US" w:eastAsia="ja-JP" w:bidi="ar-SA"/>
    </w:rPr>
  </w:style>
  <w:style w:type="paragraph" w:customStyle="1" w:styleId="70">
    <w:name w:val="TT"/>
    <w:basedOn w:val="2"/>
    <w:next w:val="1"/>
    <w:qFormat/>
    <w:uiPriority w:val="99"/>
    <w:pPr>
      <w:outlineLvl w:val="9"/>
    </w:pPr>
  </w:style>
  <w:style w:type="character" w:customStyle="1" w:styleId="71">
    <w:name w:val="Header Char"/>
    <w:semiHidden/>
    <w:qFormat/>
    <w:locked/>
    <w:uiPriority w:val="99"/>
    <w:rPr>
      <w:rFonts w:ascii="Times New Roman" w:hAnsi="Times New Roman" w:cs="Times New Roman"/>
      <w:sz w:val="20"/>
      <w:szCs w:val="20"/>
      <w:lang w:val="en-GB" w:eastAsia="ja-JP"/>
    </w:rPr>
  </w:style>
  <w:style w:type="character" w:customStyle="1" w:styleId="72">
    <w:name w:val="脚注文本 字符"/>
    <w:link w:val="40"/>
    <w:semiHidden/>
    <w:qFormat/>
    <w:locked/>
    <w:uiPriority w:val="99"/>
    <w:rPr>
      <w:rFonts w:eastAsia="宋体" w:cs="Times New Roman"/>
      <w:sz w:val="16"/>
      <w:lang w:val="en-GB" w:eastAsia="ja-JP" w:bidi="ar-SA"/>
    </w:rPr>
  </w:style>
  <w:style w:type="paragraph" w:customStyle="1" w:styleId="73">
    <w:name w:val="TAH"/>
    <w:basedOn w:val="74"/>
    <w:link w:val="129"/>
    <w:qFormat/>
    <w:uiPriority w:val="0"/>
    <w:rPr>
      <w:b/>
    </w:rPr>
  </w:style>
  <w:style w:type="paragraph" w:customStyle="1" w:styleId="74">
    <w:name w:val="TAC"/>
    <w:basedOn w:val="75"/>
    <w:link w:val="125"/>
    <w:qFormat/>
    <w:uiPriority w:val="0"/>
    <w:pPr>
      <w:jc w:val="center"/>
    </w:pPr>
  </w:style>
  <w:style w:type="paragraph" w:customStyle="1" w:styleId="75">
    <w:name w:val="TAL"/>
    <w:basedOn w:val="1"/>
    <w:qFormat/>
    <w:uiPriority w:val="99"/>
    <w:pPr>
      <w:keepNext/>
      <w:keepLines/>
      <w:spacing w:after="0"/>
    </w:pPr>
    <w:rPr>
      <w:rFonts w:ascii="Arial" w:hAnsi="Arial"/>
      <w:sz w:val="18"/>
    </w:rPr>
  </w:style>
  <w:style w:type="paragraph" w:customStyle="1" w:styleId="76">
    <w:name w:val="TF"/>
    <w:basedOn w:val="77"/>
    <w:qFormat/>
    <w:uiPriority w:val="99"/>
    <w:pPr>
      <w:keepNext w:val="0"/>
      <w:spacing w:before="0" w:after="240"/>
    </w:pPr>
  </w:style>
  <w:style w:type="paragraph" w:customStyle="1" w:styleId="77">
    <w:name w:val="TH"/>
    <w:basedOn w:val="1"/>
    <w:link w:val="139"/>
    <w:qFormat/>
    <w:uiPriority w:val="0"/>
    <w:pPr>
      <w:keepNext/>
      <w:keepLines/>
      <w:spacing w:before="60"/>
      <w:jc w:val="center"/>
    </w:pPr>
    <w:rPr>
      <w:rFonts w:ascii="Arial" w:hAnsi="Arial"/>
      <w:b/>
    </w:rPr>
  </w:style>
  <w:style w:type="paragraph" w:customStyle="1" w:styleId="78">
    <w:name w:val="NO"/>
    <w:basedOn w:val="1"/>
    <w:qFormat/>
    <w:uiPriority w:val="99"/>
    <w:pPr>
      <w:keepLines/>
      <w:ind w:left="1135" w:hanging="851"/>
    </w:pPr>
  </w:style>
  <w:style w:type="paragraph" w:customStyle="1" w:styleId="79">
    <w:name w:val="EX"/>
    <w:basedOn w:val="1"/>
    <w:qFormat/>
    <w:uiPriority w:val="99"/>
    <w:pPr>
      <w:keepLines/>
      <w:ind w:left="1702" w:hanging="1418"/>
    </w:pPr>
  </w:style>
  <w:style w:type="paragraph" w:customStyle="1" w:styleId="80">
    <w:name w:val="FP"/>
    <w:basedOn w:val="1"/>
    <w:qFormat/>
    <w:uiPriority w:val="99"/>
    <w:pPr>
      <w:spacing w:after="0"/>
    </w:pPr>
  </w:style>
  <w:style w:type="paragraph" w:customStyle="1" w:styleId="81">
    <w:name w:val="LD"/>
    <w:qFormat/>
    <w:uiPriority w:val="99"/>
    <w:pPr>
      <w:keepNext/>
      <w:keepLines/>
      <w:overflowPunct w:val="0"/>
      <w:autoSpaceDE w:val="0"/>
      <w:autoSpaceDN w:val="0"/>
      <w:adjustRightInd w:val="0"/>
      <w:spacing w:before="120" w:after="180" w:line="180" w:lineRule="exact"/>
      <w:ind w:left="1134" w:hanging="1134"/>
      <w:textAlignment w:val="baseline"/>
    </w:pPr>
    <w:rPr>
      <w:rFonts w:ascii="Courier New" w:hAnsi="Courier New" w:eastAsia="宋体" w:cs="Times New Roman"/>
      <w:lang w:val="en-US" w:eastAsia="ja-JP" w:bidi="ar-SA"/>
    </w:rPr>
  </w:style>
  <w:style w:type="paragraph" w:customStyle="1" w:styleId="82">
    <w:name w:val="NW"/>
    <w:basedOn w:val="78"/>
    <w:qFormat/>
    <w:uiPriority w:val="99"/>
    <w:pPr>
      <w:spacing w:after="0"/>
    </w:pPr>
  </w:style>
  <w:style w:type="paragraph" w:customStyle="1" w:styleId="83">
    <w:name w:val="EW"/>
    <w:basedOn w:val="79"/>
    <w:qFormat/>
    <w:uiPriority w:val="99"/>
    <w:pPr>
      <w:spacing w:after="0"/>
    </w:pPr>
  </w:style>
  <w:style w:type="paragraph" w:customStyle="1" w:styleId="84">
    <w:name w:val="EQ"/>
    <w:basedOn w:val="1"/>
    <w:next w:val="1"/>
    <w:link w:val="158"/>
    <w:qFormat/>
    <w:uiPriority w:val="0"/>
    <w:pPr>
      <w:keepLines/>
      <w:tabs>
        <w:tab w:val="center" w:pos="4536"/>
        <w:tab w:val="right" w:pos="9072"/>
      </w:tabs>
    </w:pPr>
  </w:style>
  <w:style w:type="paragraph" w:customStyle="1" w:styleId="85">
    <w:name w:val="NF"/>
    <w:basedOn w:val="78"/>
    <w:qFormat/>
    <w:uiPriority w:val="99"/>
    <w:pPr>
      <w:keepNext/>
      <w:spacing w:after="0"/>
    </w:pPr>
    <w:rPr>
      <w:rFonts w:ascii="Arial" w:hAnsi="Arial"/>
      <w:sz w:val="18"/>
    </w:rPr>
  </w:style>
  <w:style w:type="paragraph" w:customStyle="1" w:styleId="86">
    <w:name w:val="PL"/>
    <w:link w:val="14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eastAsia="宋体" w:cs="Times New Roman"/>
      <w:sz w:val="16"/>
      <w:lang w:val="en-US" w:eastAsia="ja-JP" w:bidi="ar-SA"/>
    </w:rPr>
  </w:style>
  <w:style w:type="paragraph" w:customStyle="1" w:styleId="87">
    <w:name w:val="TAR"/>
    <w:basedOn w:val="75"/>
    <w:qFormat/>
    <w:uiPriority w:val="99"/>
    <w:pPr>
      <w:jc w:val="right"/>
    </w:pPr>
  </w:style>
  <w:style w:type="paragraph" w:customStyle="1" w:styleId="88">
    <w:name w:val="TAN"/>
    <w:basedOn w:val="75"/>
    <w:qFormat/>
    <w:uiPriority w:val="99"/>
    <w:pPr>
      <w:ind w:left="851" w:hanging="851"/>
    </w:pPr>
  </w:style>
  <w:style w:type="paragraph" w:customStyle="1" w:styleId="89">
    <w:name w:val="ZA"/>
    <w:qFormat/>
    <w:uiPriority w:val="99"/>
    <w:pPr>
      <w:framePr w:w="10206" w:h="794" w:hRule="exact" w:wrap="notBeside" w:vAnchor="page" w:hAnchor="margin" w:y="1135"/>
      <w:widowControl w:val="0"/>
      <w:pBdr>
        <w:bottom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sz w:val="40"/>
      <w:lang w:val="en-US" w:eastAsia="ja-JP" w:bidi="ar-SA"/>
    </w:rPr>
  </w:style>
  <w:style w:type="paragraph" w:customStyle="1" w:styleId="90">
    <w:name w:val="ZB"/>
    <w:qFormat/>
    <w:uiPriority w:val="99"/>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eastAsia="宋体" w:cs="Times New Roman"/>
      <w:i/>
      <w:lang w:val="en-US" w:eastAsia="ja-JP" w:bidi="ar-SA"/>
    </w:rPr>
  </w:style>
  <w:style w:type="paragraph" w:customStyle="1" w:styleId="91">
    <w:name w:val="ZD"/>
    <w:qFormat/>
    <w:uiPriority w:val="99"/>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eastAsia="宋体" w:cs="Times New Roman"/>
      <w:sz w:val="32"/>
      <w:lang w:val="en-US" w:eastAsia="ja-JP" w:bidi="ar-SA"/>
    </w:rPr>
  </w:style>
  <w:style w:type="paragraph" w:customStyle="1" w:styleId="92">
    <w:name w:val="ZU"/>
    <w:qFormat/>
    <w:uiPriority w:val="99"/>
    <w:pPr>
      <w:framePr w:w="10206" w:wrap="notBeside" w:vAnchor="page" w:hAnchor="margin" w:y="6238"/>
      <w:widowControl w:val="0"/>
      <w:pBdr>
        <w:top w:val="single" w:color="auto" w:sz="12" w:space="1"/>
      </w:pBdr>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3">
    <w:name w:val="ZV"/>
    <w:basedOn w:val="92"/>
    <w:qFormat/>
    <w:uiPriority w:val="99"/>
    <w:pPr>
      <w:framePr w:y="16161"/>
    </w:pPr>
  </w:style>
  <w:style w:type="character" w:customStyle="1" w:styleId="94">
    <w:name w:val="ZGSM"/>
    <w:qFormat/>
    <w:uiPriority w:val="99"/>
  </w:style>
  <w:style w:type="paragraph" w:customStyle="1" w:styleId="95">
    <w:name w:val="ZG"/>
    <w:qFormat/>
    <w:uiPriority w:val="99"/>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eastAsia="宋体" w:cs="Times New Roman"/>
      <w:lang w:val="en-US" w:eastAsia="ja-JP" w:bidi="ar-SA"/>
    </w:rPr>
  </w:style>
  <w:style w:type="paragraph" w:customStyle="1" w:styleId="96">
    <w:name w:val="Editor's Note"/>
    <w:basedOn w:val="78"/>
    <w:qFormat/>
    <w:uiPriority w:val="99"/>
    <w:rPr>
      <w:color w:val="FF0000"/>
    </w:rPr>
  </w:style>
  <w:style w:type="paragraph" w:customStyle="1" w:styleId="97">
    <w:name w:val="B1"/>
    <w:basedOn w:val="14"/>
    <w:link w:val="140"/>
    <w:qFormat/>
    <w:uiPriority w:val="0"/>
  </w:style>
  <w:style w:type="paragraph" w:customStyle="1" w:styleId="98">
    <w:name w:val="B2"/>
    <w:basedOn w:val="13"/>
    <w:link w:val="144"/>
    <w:qFormat/>
    <w:uiPriority w:val="0"/>
  </w:style>
  <w:style w:type="paragraph" w:customStyle="1" w:styleId="99">
    <w:name w:val="B3"/>
    <w:basedOn w:val="12"/>
    <w:qFormat/>
    <w:uiPriority w:val="99"/>
  </w:style>
  <w:style w:type="paragraph" w:customStyle="1" w:styleId="100">
    <w:name w:val="B4"/>
    <w:basedOn w:val="42"/>
    <w:qFormat/>
    <w:uiPriority w:val="99"/>
  </w:style>
  <w:style w:type="paragraph" w:customStyle="1" w:styleId="101">
    <w:name w:val="B5"/>
    <w:basedOn w:val="41"/>
    <w:qFormat/>
    <w:uiPriority w:val="99"/>
  </w:style>
  <w:style w:type="character" w:customStyle="1" w:styleId="102">
    <w:name w:val="页脚 字符"/>
    <w:link w:val="37"/>
    <w:semiHidden/>
    <w:qFormat/>
    <w:locked/>
    <w:uiPriority w:val="99"/>
    <w:rPr>
      <w:rFonts w:ascii="Times New Roman" w:hAnsi="Times New Roman" w:cs="Times New Roman"/>
      <w:sz w:val="20"/>
      <w:szCs w:val="20"/>
      <w:lang w:val="en-GB" w:eastAsia="ja-JP"/>
    </w:rPr>
  </w:style>
  <w:style w:type="paragraph" w:customStyle="1" w:styleId="103">
    <w:name w:val="ZTD"/>
    <w:basedOn w:val="90"/>
    <w:qFormat/>
    <w:uiPriority w:val="99"/>
    <w:pPr>
      <w:framePr w:hRule="auto" w:y="852"/>
    </w:pPr>
    <w:rPr>
      <w:i w:val="0"/>
      <w:sz w:val="40"/>
    </w:rPr>
  </w:style>
  <w:style w:type="paragraph" w:customStyle="1" w:styleId="104">
    <w:name w:val="Tdoc_Header_2"/>
    <w:basedOn w:val="1"/>
    <w:qFormat/>
    <w:uiPriority w:val="99"/>
    <w:pPr>
      <w:widowControl w:val="0"/>
      <w:tabs>
        <w:tab w:val="left" w:pos="1701"/>
        <w:tab w:val="right" w:pos="9072"/>
        <w:tab w:val="right" w:pos="10206"/>
      </w:tabs>
      <w:jc w:val="both"/>
    </w:pPr>
    <w:rPr>
      <w:rFonts w:ascii="Arial" w:hAnsi="Arial"/>
      <w:b/>
      <w:sz w:val="18"/>
    </w:rPr>
  </w:style>
  <w:style w:type="character" w:customStyle="1" w:styleId="105">
    <w:name w:val="正文文本 字符"/>
    <w:link w:val="32"/>
    <w:qFormat/>
    <w:locked/>
    <w:uiPriority w:val="99"/>
    <w:rPr>
      <w:rFonts w:cs="Times New Roman"/>
      <w:lang w:val="en-GB" w:eastAsia="en-US" w:bidi="ar-SA"/>
    </w:rPr>
  </w:style>
  <w:style w:type="character" w:customStyle="1" w:styleId="106">
    <w:name w:val="正文文本 3 字符"/>
    <w:link w:val="31"/>
    <w:semiHidden/>
    <w:qFormat/>
    <w:locked/>
    <w:uiPriority w:val="99"/>
    <w:rPr>
      <w:rFonts w:ascii="Times New Roman" w:hAnsi="Times New Roman" w:cs="Times New Roman"/>
      <w:sz w:val="16"/>
      <w:szCs w:val="16"/>
      <w:lang w:val="en-GB" w:eastAsia="ja-JP"/>
    </w:rPr>
  </w:style>
  <w:style w:type="character" w:customStyle="1" w:styleId="107">
    <w:name w:val="题注 字符"/>
    <w:link w:val="28"/>
    <w:qFormat/>
    <w:locked/>
    <w:uiPriority w:val="0"/>
    <w:rPr>
      <w:rFonts w:cs="Times New Roman"/>
      <w:b/>
      <w:lang w:val="en-GB" w:eastAsia="en-US" w:bidi="ar-SA"/>
    </w:rPr>
  </w:style>
  <w:style w:type="paragraph" w:customStyle="1" w:styleId="108">
    <w:name w:val="Figure"/>
    <w:basedOn w:val="1"/>
    <w:qFormat/>
    <w:uiPriority w:val="99"/>
    <w:pPr>
      <w:spacing w:before="240" w:after="240"/>
      <w:jc w:val="center"/>
    </w:pPr>
    <w:rPr>
      <w:i/>
      <w:iCs/>
      <w:sz w:val="24"/>
      <w:lang w:val="fr-FR"/>
    </w:rPr>
  </w:style>
  <w:style w:type="paragraph" w:customStyle="1" w:styleId="109">
    <w:name w:val="Body Text Indent 21"/>
    <w:basedOn w:val="1"/>
    <w:qFormat/>
    <w:uiPriority w:val="99"/>
    <w:pPr>
      <w:ind w:firstLine="202"/>
      <w:jc w:val="both"/>
    </w:pPr>
    <w:rPr>
      <w:sz w:val="22"/>
    </w:rPr>
  </w:style>
  <w:style w:type="character" w:customStyle="1" w:styleId="110">
    <w:name w:val="批注文字 字符1"/>
    <w:link w:val="30"/>
    <w:qFormat/>
    <w:locked/>
    <w:uiPriority w:val="0"/>
    <w:rPr>
      <w:rFonts w:ascii="Times New Roman" w:hAnsi="Times New Roman" w:cs="Times New Roman"/>
      <w:sz w:val="20"/>
      <w:szCs w:val="20"/>
      <w:lang w:val="en-GB" w:eastAsia="ja-JP"/>
    </w:rPr>
  </w:style>
  <w:style w:type="character" w:customStyle="1" w:styleId="111">
    <w:name w:val="批注主题 字符"/>
    <w:link w:val="48"/>
    <w:semiHidden/>
    <w:qFormat/>
    <w:locked/>
    <w:uiPriority w:val="99"/>
    <w:rPr>
      <w:rFonts w:ascii="Times New Roman" w:hAnsi="Times New Roman" w:cs="Times New Roman"/>
      <w:b/>
      <w:bCs/>
      <w:sz w:val="20"/>
      <w:szCs w:val="20"/>
      <w:lang w:val="en-GB" w:eastAsia="ja-JP"/>
    </w:rPr>
  </w:style>
  <w:style w:type="character" w:customStyle="1" w:styleId="112">
    <w:name w:val="批注框文本 字符"/>
    <w:link w:val="36"/>
    <w:semiHidden/>
    <w:qFormat/>
    <w:locked/>
    <w:uiPriority w:val="99"/>
    <w:rPr>
      <w:rFonts w:ascii="Times New Roman" w:hAnsi="Times New Roman"/>
      <w:sz w:val="16"/>
      <w:lang w:val="en-GB" w:eastAsia="ja-JP"/>
    </w:rPr>
  </w:style>
  <w:style w:type="paragraph" w:customStyle="1" w:styleId="113">
    <w:name w:val="INDENT2"/>
    <w:basedOn w:val="1"/>
    <w:qFormat/>
    <w:uiPriority w:val="99"/>
    <w:pPr>
      <w:ind w:left="1135" w:hanging="284"/>
    </w:pPr>
    <w:rPr>
      <w:lang w:eastAsia="en-US"/>
    </w:rPr>
  </w:style>
  <w:style w:type="paragraph" w:customStyle="1" w:styleId="114">
    <w:name w:val="11 BodyText"/>
    <w:basedOn w:val="1"/>
    <w:link w:val="116"/>
    <w:qFormat/>
    <w:uiPriority w:val="99"/>
    <w:pPr>
      <w:spacing w:after="220"/>
      <w:ind w:left="1298"/>
    </w:pPr>
    <w:rPr>
      <w:rFonts w:ascii="CG Times (WN)" w:hAnsi="CG Times (WN)"/>
      <w:sz w:val="22"/>
      <w:lang w:eastAsia="en-US"/>
    </w:rPr>
  </w:style>
  <w:style w:type="paragraph" w:customStyle="1" w:styleId="115">
    <w:name w:val="clean"/>
    <w:semiHidden/>
    <w:qFormat/>
    <w:uiPriority w:val="99"/>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16">
    <w:name w:val="11 BodyText Char"/>
    <w:link w:val="114"/>
    <w:qFormat/>
    <w:locked/>
    <w:uiPriority w:val="99"/>
    <w:rPr>
      <w:rFonts w:cs="Times New Roman"/>
      <w:sz w:val="22"/>
      <w:lang w:eastAsia="en-US"/>
    </w:rPr>
  </w:style>
  <w:style w:type="character" w:customStyle="1" w:styleId="117">
    <w:name w:val="cap Char1"/>
    <w:qFormat/>
    <w:uiPriority w:val="99"/>
    <w:rPr>
      <w:rFonts w:cs="Times New Roman"/>
      <w:b/>
      <w:lang w:val="en-GB" w:eastAsia="en-US"/>
    </w:rPr>
  </w:style>
  <w:style w:type="paragraph" w:customStyle="1" w:styleId="118">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9">
    <w:name w:val="references"/>
    <w:qFormat/>
    <w:uiPriority w:val="99"/>
    <w:pPr>
      <w:numPr>
        <w:ilvl w:val="0"/>
        <w:numId w:val="4"/>
      </w:numPr>
      <w:spacing w:before="120" w:after="50" w:line="180" w:lineRule="exact"/>
      <w:jc w:val="both"/>
    </w:pPr>
    <w:rPr>
      <w:rFonts w:ascii="Times New Roman" w:hAnsi="Times New Roman" w:eastAsia="MS Mincho" w:cs="Times New Roman"/>
      <w:sz w:val="16"/>
      <w:szCs w:val="16"/>
      <w:lang w:val="en-US" w:eastAsia="en-US" w:bidi="ar-SA"/>
    </w:rPr>
  </w:style>
  <w:style w:type="paragraph" w:customStyle="1" w:styleId="120">
    <w:name w:val="Char Char Char Car Car Char Char 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1">
    <w:name w:val="文档结构图 字符"/>
    <w:link w:val="29"/>
    <w:semiHidden/>
    <w:qFormat/>
    <w:locked/>
    <w:uiPriority w:val="99"/>
    <w:rPr>
      <w:rFonts w:ascii="Times New Roman" w:hAnsi="Times New Roman" w:cs="Times New Roman"/>
      <w:sz w:val="2"/>
      <w:lang w:val="en-GB" w:eastAsia="ja-JP"/>
    </w:rPr>
  </w:style>
  <w:style w:type="paragraph" w:customStyle="1" w:styleId="122">
    <w:name w:val="Char Char Char Char Char Char1"/>
    <w:qFormat/>
    <w:uiPriority w:val="99"/>
    <w:pPr>
      <w:widowControl w:val="0"/>
      <w:spacing w:before="120" w:after="180" w:line="300" w:lineRule="auto"/>
      <w:ind w:left="1134" w:firstLine="480" w:firstLineChars="200"/>
      <w:jc w:val="both"/>
    </w:pPr>
    <w:rPr>
      <w:rFonts w:ascii="Times New Roman" w:hAnsi="Times New Roman" w:eastAsia="宋体" w:cs="Times New Roman"/>
      <w:kern w:val="2"/>
      <w:sz w:val="22"/>
      <w:szCs w:val="22"/>
      <w:lang w:val="en-GB" w:eastAsia="zh-CN" w:bidi="ar-SA"/>
    </w:rPr>
  </w:style>
  <w:style w:type="paragraph" w:customStyle="1" w:styleId="123">
    <w:name w:val="LGTdoc_본문"/>
    <w:basedOn w:val="1"/>
    <w:qFormat/>
    <w:uiPriority w:val="99"/>
    <w:pPr>
      <w:widowControl w:val="0"/>
      <w:snapToGrid w:val="0"/>
      <w:spacing w:afterLines="50" w:line="264" w:lineRule="auto"/>
      <w:jc w:val="both"/>
    </w:pPr>
    <w:rPr>
      <w:rFonts w:eastAsia="Batang"/>
      <w:kern w:val="2"/>
      <w:sz w:val="22"/>
      <w:szCs w:val="24"/>
      <w:lang w:eastAsia="ko-KR"/>
    </w:rPr>
  </w:style>
  <w:style w:type="character" w:customStyle="1" w:styleId="124">
    <w:name w:val="页眉 字符"/>
    <w:link w:val="38"/>
    <w:qFormat/>
    <w:locked/>
    <w:uiPriority w:val="99"/>
    <w:rPr>
      <w:rFonts w:ascii="Arial" w:hAnsi="Arial" w:cs="Times New Roman"/>
      <w:b/>
      <w:sz w:val="18"/>
      <w:lang w:val="en-US" w:eastAsia="ja-JP" w:bidi="ar-SA"/>
    </w:rPr>
  </w:style>
  <w:style w:type="character" w:customStyle="1" w:styleId="125">
    <w:name w:val="TAC Char"/>
    <w:link w:val="74"/>
    <w:qFormat/>
    <w:locked/>
    <w:uiPriority w:val="0"/>
    <w:rPr>
      <w:rFonts w:ascii="Arial" w:hAnsi="Arial" w:cs="Times New Roman"/>
      <w:sz w:val="18"/>
      <w:lang w:val="en-GB" w:eastAsia="ja-JP"/>
    </w:rPr>
  </w:style>
  <w:style w:type="paragraph" w:customStyle="1" w:styleId="126">
    <w:name w:val="(文字) (文字)"/>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27">
    <w:name w:val="彩色底纹 - 强调文字颜色 11"/>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customStyle="1" w:styleId="128">
    <w:name w:val="彩色列表 - 强调文字颜色 11"/>
    <w:basedOn w:val="1"/>
    <w:qFormat/>
    <w:uiPriority w:val="34"/>
    <w:pPr>
      <w:ind w:left="720"/>
      <w:contextualSpacing/>
    </w:pPr>
  </w:style>
  <w:style w:type="character" w:customStyle="1" w:styleId="129">
    <w:name w:val="TAH Car"/>
    <w:link w:val="73"/>
    <w:qFormat/>
    <w:uiPriority w:val="0"/>
    <w:rPr>
      <w:rFonts w:ascii="Arial" w:hAnsi="Arial"/>
      <w:b/>
      <w:sz w:val="18"/>
      <w:lang w:val="en-GB" w:eastAsia="ja-JP"/>
    </w:rPr>
  </w:style>
  <w:style w:type="paragraph" w:customStyle="1" w:styleId="130">
    <w:name w:val="List Paragraph1"/>
    <w:basedOn w:val="1"/>
    <w:qFormat/>
    <w:uiPriority w:val="34"/>
    <w:pPr>
      <w:spacing w:after="200" w:line="276" w:lineRule="auto"/>
      <w:ind w:firstLine="420" w:firstLineChars="200"/>
    </w:pPr>
    <w:rPr>
      <w:rFonts w:ascii="Calibri" w:hAnsi="Calibri"/>
      <w:sz w:val="22"/>
      <w:szCs w:val="22"/>
      <w:lang w:val="en-US" w:eastAsia="en-US"/>
    </w:rPr>
  </w:style>
  <w:style w:type="paragraph" w:customStyle="1" w:styleId="131">
    <w:name w:val="中等深浅网格 1 - 强调文字颜色 21"/>
    <w:basedOn w:val="1"/>
    <w:link w:val="132"/>
    <w:qFormat/>
    <w:uiPriority w:val="34"/>
    <w:pPr>
      <w:ind w:firstLine="420" w:firstLineChars="200"/>
    </w:pPr>
  </w:style>
  <w:style w:type="character" w:customStyle="1" w:styleId="132">
    <w:name w:val="中等深浅网格 1 - 强调文字颜色 2 Char"/>
    <w:link w:val="131"/>
    <w:qFormat/>
    <w:uiPriority w:val="34"/>
    <w:rPr>
      <w:rFonts w:ascii="Times New Roman" w:hAnsi="Times New Roman"/>
      <w:lang w:val="en-GB" w:eastAsia="ja-JP"/>
    </w:rPr>
  </w:style>
  <w:style w:type="paragraph" w:customStyle="1" w:styleId="133">
    <w:name w:val="Revision"/>
    <w:hidden/>
    <w:semiHidden/>
    <w:qFormat/>
    <w:uiPriority w:val="99"/>
    <w:pPr>
      <w:spacing w:before="120" w:after="180"/>
      <w:ind w:left="1134" w:hanging="1134"/>
    </w:pPr>
    <w:rPr>
      <w:rFonts w:ascii="Times New Roman" w:hAnsi="Times New Roman" w:eastAsia="宋体" w:cs="Times New Roman"/>
      <w:lang w:val="en-GB" w:eastAsia="ja-JP" w:bidi="ar-SA"/>
    </w:rPr>
  </w:style>
  <w:style w:type="paragraph" w:styleId="134">
    <w:name w:val="List Paragraph"/>
    <w:basedOn w:val="1"/>
    <w:link w:val="135"/>
    <w:qFormat/>
    <w:uiPriority w:val="34"/>
    <w:pPr>
      <w:spacing w:after="0"/>
      <w:ind w:left="840" w:leftChars="400" w:hanging="1440"/>
    </w:pPr>
    <w:rPr>
      <w:rFonts w:ascii="Times" w:hAnsi="Times" w:eastAsia="Batang"/>
      <w:szCs w:val="24"/>
    </w:rPr>
  </w:style>
  <w:style w:type="character" w:customStyle="1" w:styleId="135">
    <w:name w:val="列出段落 字符"/>
    <w:link w:val="134"/>
    <w:qFormat/>
    <w:uiPriority w:val="34"/>
    <w:rPr>
      <w:rFonts w:ascii="Times" w:hAnsi="Times" w:eastAsia="Batang"/>
      <w:szCs w:val="24"/>
      <w:lang w:val="en-GB"/>
    </w:rPr>
  </w:style>
  <w:style w:type="paragraph" w:customStyle="1" w:styleId="136">
    <w:name w:val="3GPP Normal Text"/>
    <w:basedOn w:val="32"/>
    <w:link w:val="137"/>
    <w:qFormat/>
    <w:uiPriority w:val="0"/>
    <w:pPr>
      <w:spacing w:after="120"/>
      <w:ind w:left="720" w:hanging="720"/>
      <w:jc w:val="both"/>
    </w:pPr>
    <w:rPr>
      <w:rFonts w:ascii="Times New Roman" w:hAnsi="Times New Roman" w:eastAsia="MS Mincho"/>
      <w:sz w:val="22"/>
      <w:szCs w:val="24"/>
    </w:rPr>
  </w:style>
  <w:style w:type="character" w:customStyle="1" w:styleId="137">
    <w:name w:val="3GPP Normal Text Char"/>
    <w:link w:val="136"/>
    <w:qFormat/>
    <w:uiPriority w:val="0"/>
    <w:rPr>
      <w:rFonts w:ascii="Times New Roman" w:hAnsi="Times New Roman" w:eastAsia="MS Mincho"/>
      <w:sz w:val="22"/>
      <w:szCs w:val="24"/>
    </w:rPr>
  </w:style>
  <w:style w:type="character" w:customStyle="1" w:styleId="138">
    <w:name w:val="列出段落 Char1"/>
    <w:qFormat/>
    <w:uiPriority w:val="34"/>
    <w:rPr>
      <w:rFonts w:ascii="Times" w:hAnsi="Times"/>
      <w:szCs w:val="24"/>
      <w:lang w:val="en-GB"/>
    </w:rPr>
  </w:style>
  <w:style w:type="character" w:customStyle="1" w:styleId="139">
    <w:name w:val="TH Char"/>
    <w:link w:val="77"/>
    <w:qFormat/>
    <w:uiPriority w:val="0"/>
    <w:rPr>
      <w:rFonts w:ascii="Arial" w:hAnsi="Arial"/>
      <w:b/>
      <w:lang w:val="en-GB" w:eastAsia="ja-JP"/>
    </w:rPr>
  </w:style>
  <w:style w:type="character" w:customStyle="1" w:styleId="140">
    <w:name w:val="B1 Zchn"/>
    <w:link w:val="97"/>
    <w:qFormat/>
    <w:uiPriority w:val="0"/>
    <w:rPr>
      <w:rFonts w:ascii="Times New Roman" w:hAnsi="Times New Roman"/>
      <w:lang w:val="en-GB" w:eastAsia="ja-JP"/>
    </w:rPr>
  </w:style>
  <w:style w:type="character" w:customStyle="1" w:styleId="141">
    <w:name w:val="PL Char"/>
    <w:link w:val="86"/>
    <w:qFormat/>
    <w:uiPriority w:val="0"/>
    <w:rPr>
      <w:rFonts w:ascii="Courier New" w:hAnsi="Courier New"/>
      <w:sz w:val="16"/>
      <w:lang w:eastAsia="ja-JP"/>
    </w:rPr>
  </w:style>
  <w:style w:type="character" w:customStyle="1" w:styleId="142">
    <w:name w:val="列出段落 字符1"/>
    <w:qFormat/>
    <w:uiPriority w:val="34"/>
    <w:rPr>
      <w:rFonts w:ascii="Times" w:hAnsi="Times"/>
      <w:szCs w:val="24"/>
      <w:lang w:val="en-GB"/>
    </w:rPr>
  </w:style>
  <w:style w:type="character" w:customStyle="1" w:styleId="143">
    <w:name w:val="批注文字 字符"/>
    <w:semiHidden/>
    <w:qFormat/>
    <w:uiPriority w:val="0"/>
    <w:rPr>
      <w:rFonts w:eastAsia="仿宋_GB2312"/>
      <w:kern w:val="2"/>
      <w:sz w:val="24"/>
      <w:szCs w:val="24"/>
    </w:rPr>
  </w:style>
  <w:style w:type="character" w:customStyle="1" w:styleId="144">
    <w:name w:val="B2 Char"/>
    <w:link w:val="98"/>
    <w:qFormat/>
    <w:uiPriority w:val="0"/>
    <w:rPr>
      <w:rFonts w:ascii="Times New Roman" w:hAnsi="Times New Roman"/>
      <w:lang w:val="en-GB" w:eastAsia="ja-JP"/>
    </w:rPr>
  </w:style>
  <w:style w:type="paragraph" w:customStyle="1" w:styleId="145">
    <w:name w:val="References"/>
    <w:basedOn w:val="1"/>
    <w:qFormat/>
    <w:uiPriority w:val="0"/>
    <w:pPr>
      <w:numPr>
        <w:ilvl w:val="0"/>
        <w:numId w:val="5"/>
      </w:numPr>
      <w:snapToGrid w:val="0"/>
      <w:spacing w:after="60"/>
      <w:jc w:val="both"/>
    </w:pPr>
    <w:rPr>
      <w:szCs w:val="16"/>
      <w:lang w:val="en-US" w:eastAsia="en-US"/>
    </w:rPr>
  </w:style>
  <w:style w:type="character" w:customStyle="1" w:styleId="146">
    <w:name w:val="标题 字符"/>
    <w:basedOn w:val="53"/>
    <w:link w:val="47"/>
    <w:qFormat/>
    <w:uiPriority w:val="10"/>
    <w:rPr>
      <w:rFonts w:asciiTheme="majorHAnsi" w:hAnsiTheme="majorHAnsi" w:cstheme="majorBidi"/>
      <w:b/>
      <w:bCs/>
      <w:sz w:val="32"/>
      <w:szCs w:val="32"/>
      <w:lang w:val="en-GB" w:eastAsia="ja-JP"/>
    </w:rPr>
  </w:style>
  <w:style w:type="character" w:customStyle="1" w:styleId="147">
    <w:name w:val="副标题 字符"/>
    <w:basedOn w:val="53"/>
    <w:link w:val="39"/>
    <w:qFormat/>
    <w:uiPriority w:val="11"/>
    <w:rPr>
      <w:rFonts w:asciiTheme="majorHAnsi" w:hAnsiTheme="majorHAnsi" w:cstheme="majorBidi"/>
      <w:b/>
      <w:bCs/>
      <w:kern w:val="28"/>
      <w:sz w:val="32"/>
      <w:szCs w:val="32"/>
      <w:lang w:val="en-GB" w:eastAsia="ja-JP"/>
    </w:rPr>
  </w:style>
  <w:style w:type="paragraph" w:customStyle="1" w:styleId="148">
    <w:name w:val="Doc-text2"/>
    <w:basedOn w:val="1"/>
    <w:link w:val="149"/>
    <w:qFormat/>
    <w:uiPriority w:val="0"/>
    <w:pPr>
      <w:tabs>
        <w:tab w:val="left" w:pos="1622"/>
      </w:tabs>
      <w:spacing w:after="0"/>
      <w:ind w:left="1622" w:hanging="363"/>
    </w:pPr>
    <w:rPr>
      <w:rFonts w:ascii="Arial" w:hAnsi="Arial" w:eastAsia="MS Mincho"/>
      <w:szCs w:val="24"/>
      <w:lang w:eastAsia="en-GB"/>
    </w:rPr>
  </w:style>
  <w:style w:type="character" w:customStyle="1" w:styleId="149">
    <w:name w:val="Doc-text2 Char"/>
    <w:link w:val="148"/>
    <w:qFormat/>
    <w:uiPriority w:val="0"/>
    <w:rPr>
      <w:rFonts w:ascii="Arial" w:hAnsi="Arial" w:eastAsia="MS Mincho"/>
      <w:szCs w:val="24"/>
      <w:lang w:val="en-GB" w:eastAsia="en-GB"/>
    </w:rPr>
  </w:style>
  <w:style w:type="character" w:customStyle="1" w:styleId="150">
    <w:name w:val="fontstyle01"/>
    <w:basedOn w:val="53"/>
    <w:qFormat/>
    <w:uiPriority w:val="0"/>
    <w:rPr>
      <w:rFonts w:hint="default" w:ascii="Times New Roman" w:hAnsi="Times New Roman" w:cs="Times New Roman"/>
      <w:i/>
      <w:iCs/>
      <w:color w:val="000000"/>
      <w:sz w:val="20"/>
      <w:szCs w:val="20"/>
    </w:rPr>
  </w:style>
  <w:style w:type="paragraph" w:customStyle="1" w:styleId="151">
    <w:name w:val="样式1"/>
    <w:basedOn w:val="4"/>
    <w:link w:val="152"/>
    <w:qFormat/>
    <w:uiPriority w:val="0"/>
    <w:rPr>
      <w:lang w:eastAsia="zh-CN"/>
    </w:rPr>
  </w:style>
  <w:style w:type="character" w:customStyle="1" w:styleId="152">
    <w:name w:val="样式1 Char"/>
    <w:basedOn w:val="61"/>
    <w:link w:val="151"/>
    <w:qFormat/>
    <w:uiPriority w:val="0"/>
    <w:rPr>
      <w:rFonts w:ascii="Cambria" w:hAnsi="Cambria"/>
      <w:sz w:val="26"/>
      <w:szCs w:val="26"/>
      <w:lang w:val="en-GB" w:eastAsia="ja-JP"/>
    </w:rPr>
  </w:style>
  <w:style w:type="table" w:customStyle="1" w:styleId="153">
    <w:name w:val="Plain Table 4"/>
    <w:basedOn w:val="49"/>
    <w:qFormat/>
    <w:locked/>
    <w:uiPriority w:val="99"/>
    <w:pPr>
      <w:spacing w:after="0"/>
    </w:p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54">
    <w:name w:val="Grid Table Light"/>
    <w:basedOn w:val="49"/>
    <w:qFormat/>
    <w:locked/>
    <w:uiPriority w:val="99"/>
    <w:pPr>
      <w:spacing w:after="0"/>
    </w:p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55">
    <w:name w:val="网格型1"/>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6">
    <w:name w:val="Placeholder Text"/>
    <w:basedOn w:val="53"/>
    <w:qFormat/>
    <w:uiPriority w:val="67"/>
    <w:rPr>
      <w:color w:val="808080"/>
    </w:rPr>
  </w:style>
  <w:style w:type="table" w:customStyle="1" w:styleId="157">
    <w:name w:val="网格型2"/>
    <w:basedOn w:val="49"/>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8">
    <w:name w:val="EQ Char"/>
    <w:link w:val="84"/>
    <w:qFormat/>
    <w:uiPriority w:val="0"/>
    <w:rPr>
      <w:rFonts w:ascii="Times New Roman" w:hAnsi="Times New Roman"/>
      <w:lang w:val="en-GB" w:eastAsia="ja-JP"/>
    </w:rPr>
  </w:style>
  <w:style w:type="paragraph" w:customStyle="1" w:styleId="159">
    <w:name w:val="Default"/>
    <w:qFormat/>
    <w:uiPriority w:val="0"/>
    <w:pPr>
      <w:widowControl w:val="0"/>
      <w:autoSpaceDE w:val="0"/>
      <w:autoSpaceDN w:val="0"/>
      <w:adjustRightInd w:val="0"/>
      <w:spacing w:before="0" w:after="0"/>
      <w:ind w:left="0" w:firstLine="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B3518A-9125-4CF5-BE5B-C28F80CCAFAA}">
  <ds:schemaRefs/>
</ds:datastoreItem>
</file>

<file path=docProps/app.xml><?xml version="1.0" encoding="utf-8"?>
<Properties xmlns="http://schemas.openxmlformats.org/officeDocument/2006/extended-properties" xmlns:vt="http://schemas.openxmlformats.org/officeDocument/2006/docPropsVTypes">
  <Template>3gpp_70</Template>
  <Company>Nokia Siemens Networks</Company>
  <Pages>3</Pages>
  <Words>1066</Words>
  <Characters>6079</Characters>
  <Lines>50</Lines>
  <Paragraphs>14</Paragraphs>
  <TotalTime>1</TotalTime>
  <ScaleCrop>false</ScaleCrop>
  <LinksUpToDate>false</LinksUpToDate>
  <CharactersWithSpaces>7131</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2021-08-06T10:35:00Z</dcterms:created>
  <dc:creator>CMCC</dc:creator>
  <cp:keywords>ESA, style sheet, Winword</cp:keywords>
  <cp:lastModifiedBy>狐狸姐</cp:lastModifiedBy>
  <cp:lastPrinted>2013-04-02T02:18:00Z</cp:lastPrinted>
  <dcterms:modified xsi:type="dcterms:W3CDTF">2022-04-29T06:50:15Z</dcterms:modified>
  <dc:subject>Word for Windows 6.x &amp; 95+</dc:subject>
  <dc:title>ETSI stylesheet (v.7.0)</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89957FEE25E24B058B6C251E82CF1894</vt:lpwstr>
  </property>
</Properties>
</file>